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" w:line="140" w:lineRule="exact"/>
        <w:rPr>
          <w:rFonts w:ascii="Times New Roman" w:hAnsi="Times New Roman" w:cs="Times New Roman"/>
          <w:sz w:val="24"/>
          <w:szCs w:val="24"/>
          <w:lang w:val="en-US"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mikro účtovnej závierke za rok 202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3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Times New Roman" w:hAnsi="Times New Roman" w:cs="Times New Roman"/>
          <w:b/>
          <w:sz w:val="24"/>
          <w:szCs w:val="24"/>
        </w:rPr>
        <w:t>mikro účtovné jednotky</w:t>
      </w:r>
      <w:r>
        <w:rPr>
          <w:rFonts w:ascii="Times New Roman" w:hAnsi="Times New Roman" w:cs="Times New Roman"/>
          <w:sz w:val="24"/>
          <w:szCs w:val="24"/>
        </w:rPr>
        <w:t xml:space="preserve"> v znení neskorších predpisov</w:t>
      </w:r>
    </w:p>
    <w:p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pStyle w:val="2"/>
        <w:spacing w:before="69"/>
        <w:ind w:right="836"/>
        <w:jc w:val="center"/>
        <w:rPr>
          <w:rFonts w:cs="Times New Roman"/>
          <w:b w:val="0"/>
          <w:bCs w:val="0"/>
        </w:rPr>
      </w:pPr>
      <w:r>
        <w:rPr>
          <w:rFonts w:cs="Times New Roman"/>
        </w:rPr>
        <w:t>Článok I</w:t>
      </w:r>
    </w:p>
    <w:p>
      <w:pPr>
        <w:ind w:right="841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Vš</w:t>
      </w:r>
      <w:r>
        <w:rPr>
          <w:rFonts w:ascii="Times New Roman" w:hAnsi="Times New Roman" w:eastAsia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ob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né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úda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e</w:t>
      </w:r>
    </w:p>
    <w:p>
      <w:pPr>
        <w:pStyle w:val="6"/>
        <w:tabs>
          <w:tab w:val="left" w:pos="808"/>
        </w:tabs>
        <w:ind w:left="0" w:firstLine="0"/>
        <w:rPr>
          <w:rFonts w:cs="Times New Roman"/>
          <w:b/>
        </w:rPr>
      </w:pPr>
      <w:r>
        <w:rPr>
          <w:rFonts w:cs="Times New Roman"/>
          <w:b/>
        </w:rPr>
        <w:t xml:space="preserve">1. </w:t>
      </w:r>
      <w:r>
        <w:rPr>
          <w:rFonts w:cs="Times New Roman"/>
          <w:b/>
          <w:u w:val="single"/>
        </w:rPr>
        <w:t>Identifikácia účtovnej jednotky (názov, IČO, sídlo):</w:t>
      </w:r>
    </w:p>
    <w:p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4"/>
        <w:gridCol w:w="64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4" w:type="dxa"/>
          </w:tcPr>
          <w:p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485" w:type="dxa"/>
          </w:tcPr>
          <w:p>
            <w:pPr>
              <w:spacing w:line="260" w:lineRule="exact"/>
              <w:jc w:val="both"/>
              <w:rPr>
                <w:rFonts w:hint="default"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sk-SK"/>
              </w:rPr>
              <w:t>ONYX RESIDENCES S.R.O.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4" w:type="dxa"/>
          </w:tcPr>
          <w:p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485" w:type="dxa"/>
          </w:tcPr>
          <w:p>
            <w:pPr>
              <w:spacing w:line="260" w:lineRule="exact"/>
              <w:jc w:val="both"/>
              <w:rPr>
                <w:rFonts w:hint="default"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sk-SK"/>
              </w:rPr>
              <w:t>53237102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4" w:type="dxa"/>
          </w:tcPr>
          <w:p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485" w:type="dxa"/>
          </w:tcPr>
          <w:p>
            <w:pPr>
              <w:spacing w:line="260" w:lineRule="exact"/>
              <w:jc w:val="both"/>
              <w:rPr>
                <w:rFonts w:hint="default" w:ascii="Times New Roman" w:hAnsi="Times New Roman" w:cs="Times New Roman"/>
                <w:b/>
                <w:sz w:val="24"/>
                <w:szCs w:val="24"/>
                <w:lang w:val="sk-SK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4"/>
                <w:lang w:val="sk-SK"/>
              </w:rPr>
              <w:t>Brnianska 1, 911 05  Trenčín</w:t>
            </w:r>
          </w:p>
        </w:tc>
      </w:tr>
    </w:tbl>
    <w:p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pStyle w:val="6"/>
        <w:tabs>
          <w:tab w:val="left" w:pos="808"/>
        </w:tabs>
        <w:ind w:left="0" w:firstLine="0"/>
        <w:rPr>
          <w:rFonts w:cs="Times New Roman"/>
          <w:b/>
          <w:spacing w:val="-5"/>
        </w:rPr>
      </w:pPr>
      <w:r>
        <w:rPr>
          <w:rFonts w:cs="Times New Roman"/>
          <w:b/>
        </w:rPr>
        <w:t xml:space="preserve">2. </w:t>
      </w:r>
      <w:r>
        <w:rPr>
          <w:rFonts w:cs="Times New Roman"/>
          <w:b/>
          <w:u w:val="single"/>
        </w:rPr>
        <w:t>Úd</w:t>
      </w:r>
      <w:r>
        <w:rPr>
          <w:rFonts w:cs="Times New Roman"/>
          <w:b/>
          <w:spacing w:val="-2"/>
          <w:u w:val="single"/>
        </w:rPr>
        <w:t>a</w:t>
      </w:r>
      <w:r>
        <w:rPr>
          <w:rFonts w:cs="Times New Roman"/>
          <w:b/>
          <w:u w:val="single"/>
        </w:rPr>
        <w:t>je o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 xml:space="preserve">konsolidovanom </w:t>
      </w:r>
      <w:r>
        <w:rPr>
          <w:rFonts w:cs="Times New Roman"/>
          <w:b/>
          <w:spacing w:val="-1"/>
          <w:u w:val="single"/>
        </w:rPr>
        <w:t>ce</w:t>
      </w:r>
      <w:r>
        <w:rPr>
          <w:rFonts w:cs="Times New Roman"/>
          <w:b/>
          <w:u w:val="single"/>
        </w:rPr>
        <w:t>lk</w:t>
      </w:r>
      <w:r>
        <w:rPr>
          <w:rFonts w:cs="Times New Roman"/>
          <w:b/>
          <w:spacing w:val="1"/>
          <w:u w:val="single"/>
        </w:rPr>
        <w:t>u</w:t>
      </w:r>
      <w:r>
        <w:rPr>
          <w:rFonts w:cs="Times New Roman"/>
          <w:b/>
          <w:spacing w:val="1"/>
        </w:rPr>
        <w:t xml:space="preserve"> - </w:t>
      </w:r>
      <w:r>
        <w:rPr>
          <w:rFonts w:cs="Times New Roman"/>
          <w:b/>
        </w:rPr>
        <w:t>ob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>hodné</w:t>
      </w:r>
      <w:r>
        <w:rPr>
          <w:rFonts w:cs="Times New Roman"/>
          <w:b/>
          <w:spacing w:val="39"/>
        </w:rPr>
        <w:t xml:space="preserve"> </w:t>
      </w:r>
      <w:r>
        <w:rPr>
          <w:rFonts w:cs="Times New Roman"/>
          <w:b/>
        </w:rPr>
        <w:t>meno</w:t>
      </w:r>
      <w:r>
        <w:rPr>
          <w:rFonts w:cs="Times New Roman"/>
          <w:b/>
          <w:spacing w:val="42"/>
        </w:rPr>
        <w:t xml:space="preserve"> </w:t>
      </w:r>
      <w:r>
        <w:rPr>
          <w:rFonts w:cs="Times New Roman"/>
          <w:b/>
        </w:rPr>
        <w:t>a síd</w:t>
      </w:r>
      <w:r>
        <w:rPr>
          <w:rFonts w:cs="Times New Roman"/>
          <w:b/>
          <w:spacing w:val="3"/>
        </w:rPr>
        <w:t>l</w:t>
      </w:r>
      <w:r>
        <w:rPr>
          <w:rFonts w:cs="Times New Roman"/>
          <w:b/>
        </w:rPr>
        <w:t>o</w:t>
      </w:r>
      <w:r>
        <w:rPr>
          <w:rFonts w:cs="Times New Roman"/>
          <w:b/>
          <w:spacing w:val="40"/>
        </w:rPr>
        <w:t xml:space="preserve"> </w:t>
      </w:r>
      <w:r>
        <w:rPr>
          <w:rFonts w:cs="Times New Roman"/>
          <w:b/>
        </w:rPr>
        <w:t>konsolidujú</w:t>
      </w:r>
      <w:r>
        <w:rPr>
          <w:rFonts w:cs="Times New Roman"/>
          <w:b/>
          <w:spacing w:val="-1"/>
        </w:rPr>
        <w:t>ce</w:t>
      </w:r>
      <w:r>
        <w:rPr>
          <w:rFonts w:cs="Times New Roman"/>
          <w:b/>
        </w:rPr>
        <w:t>j</w:t>
      </w:r>
      <w:r>
        <w:rPr>
          <w:rFonts w:cs="Times New Roman"/>
          <w:b/>
          <w:spacing w:val="41"/>
        </w:rPr>
        <w:t xml:space="preserve"> </w:t>
      </w:r>
      <w:r>
        <w:rPr>
          <w:rFonts w:cs="Times New Roman"/>
          <w:b/>
        </w:rPr>
        <w:t>ú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>t</w:t>
      </w:r>
      <w:r>
        <w:rPr>
          <w:rFonts w:cs="Times New Roman"/>
          <w:b/>
          <w:spacing w:val="2"/>
        </w:rPr>
        <w:t>o</w:t>
      </w:r>
      <w:r>
        <w:rPr>
          <w:rFonts w:cs="Times New Roman"/>
          <w:b/>
        </w:rPr>
        <w:t>vn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j</w:t>
      </w:r>
      <w:r>
        <w:rPr>
          <w:rFonts w:cs="Times New Roman"/>
          <w:b/>
          <w:spacing w:val="41"/>
        </w:rPr>
        <w:t xml:space="preserve"> </w:t>
      </w:r>
      <w:r>
        <w:rPr>
          <w:rFonts w:cs="Times New Roman"/>
          <w:b/>
        </w:rPr>
        <w:t>jednot</w:t>
      </w:r>
      <w:r>
        <w:rPr>
          <w:rFonts w:cs="Times New Roman"/>
          <w:b/>
          <w:spacing w:val="4"/>
        </w:rPr>
        <w:t>k</w:t>
      </w:r>
      <w:r>
        <w:rPr>
          <w:rFonts w:cs="Times New Roman"/>
          <w:b/>
          <w:spacing w:val="-5"/>
        </w:rPr>
        <w:t>y:</w:t>
      </w:r>
    </w:p>
    <w:p>
      <w:pPr>
        <w:pStyle w:val="6"/>
        <w:tabs>
          <w:tab w:val="left" w:pos="808"/>
        </w:tabs>
        <w:ind w:left="0" w:firstLine="0"/>
        <w:rPr>
          <w:rFonts w:cs="Times New Roman"/>
          <w:spacing w:val="-5"/>
        </w:rPr>
      </w:pPr>
      <w:r>
        <w:rPr>
          <w:rFonts w:cs="Times New Roman"/>
          <w:spacing w:val="-5"/>
        </w:rPr>
        <w:t>Spoločnosť nie je súčasťou konsolidovaného celku inej obchodnej spoločnosti.</w:t>
      </w:r>
    </w:p>
    <w:p>
      <w:pPr>
        <w:pStyle w:val="6"/>
        <w:tabs>
          <w:tab w:val="left" w:pos="808"/>
        </w:tabs>
        <w:ind w:left="0" w:firstLine="0"/>
        <w:rPr>
          <w:rFonts w:cs="Times New Roman"/>
          <w:spacing w:val="-5"/>
        </w:rPr>
      </w:pPr>
    </w:p>
    <w:p>
      <w:pPr>
        <w:spacing w:line="26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Pri</w:t>
      </w:r>
      <w:r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me</w:t>
      </w:r>
      <w:r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r</w:t>
      </w:r>
      <w:r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pr</w:t>
      </w:r>
      <w:r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o</w:t>
      </w:r>
      <w:r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ít</w:t>
      </w:r>
      <w:r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p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t </w:t>
      </w:r>
      <w:r>
        <w:rPr>
          <w:rFonts w:ascii="Times New Roman" w:hAnsi="Times New Roman" w:cs="Times New Roman"/>
          <w:b/>
          <w:spacing w:val="1"/>
          <w:sz w:val="24"/>
          <w:szCs w:val="24"/>
          <w:u w:val="single"/>
        </w:rPr>
        <w:t>z</w:t>
      </w:r>
      <w:r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mestn</w:t>
      </w:r>
      <w:r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n</w:t>
      </w:r>
      <w:r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c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ov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90"/>
        <w:gridCol w:w="1850"/>
        <w:gridCol w:w="32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0" w:type="dxa"/>
          </w:tcPr>
          <w:p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50" w:type="dxa"/>
          </w:tcPr>
          <w:p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299" w:type="dxa"/>
          </w:tcPr>
          <w:p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0" w:type="dxa"/>
          </w:tcPr>
          <w:p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850" w:type="dxa"/>
          </w:tcPr>
          <w:p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9" w:type="dxa"/>
          </w:tcPr>
          <w:p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pStyle w:val="2"/>
        <w:ind w:right="839"/>
        <w:jc w:val="center"/>
        <w:rPr>
          <w:rFonts w:cs="Times New Roman"/>
          <w:b w:val="0"/>
          <w:bCs w:val="0"/>
        </w:rPr>
      </w:pPr>
      <w:r>
        <w:rPr>
          <w:rFonts w:cs="Times New Roman"/>
        </w:rPr>
        <w:t>Článok II</w:t>
      </w:r>
    </w:p>
    <w:p>
      <w:pPr>
        <w:ind w:right="836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In</w:t>
      </w:r>
      <w:r>
        <w:rPr>
          <w:rFonts w:ascii="Times New Roman" w:hAnsi="Times New Roman" w:eastAsia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o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 w:eastAsia="Times New Roman" w:cs="Times New Roman"/>
          <w:b/>
          <w:bCs/>
          <w:spacing w:val="-4"/>
          <w:sz w:val="24"/>
          <w:szCs w:val="24"/>
        </w:rPr>
        <w:t>m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á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ie o p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ij</w:t>
      </w:r>
      <w:r>
        <w:rPr>
          <w:rFonts w:ascii="Times New Roman" w:hAnsi="Times New Roman" w:eastAsia="Times New Roman" w:cs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tý</w:t>
      </w:r>
      <w:r>
        <w:rPr>
          <w:rFonts w:ascii="Times New Roman" w:hAnsi="Times New Roman" w:eastAsia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h</w:t>
      </w:r>
      <w:r>
        <w:rPr>
          <w:rFonts w:ascii="Times New Roman" w:hAnsi="Times New Roman" w:eastAsia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postu</w:t>
      </w:r>
      <w:r>
        <w:rPr>
          <w:rFonts w:ascii="Times New Roman" w:hAnsi="Times New Roman" w:eastAsia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o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h</w:t>
      </w:r>
    </w:p>
    <w:p>
      <w:pPr>
        <w:pStyle w:val="6"/>
        <w:numPr>
          <w:ilvl w:val="0"/>
          <w:numId w:val="1"/>
        </w:numPr>
        <w:tabs>
          <w:tab w:val="left" w:pos="808"/>
        </w:tabs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>Účtovná jednotka bude nepretržite pokračovať vo svojej činnosti:</w:t>
      </w:r>
    </w:p>
    <w:p>
      <w:pPr>
        <w:pStyle w:val="6"/>
        <w:tabs>
          <w:tab w:val="left" w:pos="808"/>
        </w:tabs>
        <w:jc w:val="both"/>
        <w:rPr>
          <w:rFonts w:cs="Times New Roman"/>
        </w:rPr>
      </w:pPr>
      <w:r>
        <w:rPr>
          <w:rFonts w:cs="Times New Roman"/>
        </w:rPr>
        <w:t xml:space="preserve">      Účtovná závierka bola zostavená za predpokladu nepretržitého trvania spoločnosti.  </w:t>
      </w:r>
    </w:p>
    <w:p>
      <w:pPr>
        <w:pStyle w:val="6"/>
        <w:tabs>
          <w:tab w:val="left" w:pos="808"/>
        </w:tabs>
        <w:jc w:val="both"/>
        <w:rPr>
          <w:rFonts w:cs="Times New Roman"/>
        </w:rPr>
      </w:pPr>
    </w:p>
    <w:p>
      <w:pPr>
        <w:pStyle w:val="6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Účtovná závierka spoločnosti je zostavená k 31. decembru 202</w:t>
      </w:r>
      <w:r>
        <w:rPr>
          <w:rFonts w:hint="default" w:cs="Times New Roman"/>
          <w:lang w:val="sk-SK"/>
        </w:rPr>
        <w:t>3</w:t>
      </w:r>
      <w:r>
        <w:rPr>
          <w:rFonts w:cs="Times New Roman"/>
        </w:rPr>
        <w:t xml:space="preserve"> ako riadna účtovná závierka    </w:t>
      </w:r>
    </w:p>
    <w:p>
      <w:pPr>
        <w:pStyle w:val="6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podľa § 17 ods. 6 zákona č. 431/2002 Z. z. o účtovníctve v znení neskorších predpisov, a to za </w:t>
      </w:r>
    </w:p>
    <w:p>
      <w:pPr>
        <w:pStyle w:val="6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účtovné obdobie od 01. januára 202</w:t>
      </w:r>
      <w:r>
        <w:rPr>
          <w:rFonts w:hint="default" w:cs="Times New Roman"/>
          <w:lang w:val="sk-SK"/>
        </w:rPr>
        <w:t>3</w:t>
      </w:r>
      <w:r>
        <w:rPr>
          <w:rFonts w:cs="Times New Roman"/>
        </w:rPr>
        <w:t xml:space="preserve"> do 31. decembra 202</w:t>
      </w:r>
      <w:r>
        <w:rPr>
          <w:rFonts w:hint="default" w:cs="Times New Roman"/>
          <w:lang w:val="sk-SK"/>
        </w:rPr>
        <w:t>3</w:t>
      </w:r>
      <w:r>
        <w:rPr>
          <w:rFonts w:cs="Times New Roman"/>
        </w:rPr>
        <w:t>.</w:t>
      </w: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b/>
        </w:rPr>
      </w:pP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b/>
        </w:rPr>
      </w:pPr>
      <w:r>
        <w:rPr>
          <w:rFonts w:cs="Times New Roman"/>
          <w:b/>
        </w:rPr>
        <w:t xml:space="preserve">2. </w:t>
      </w:r>
      <w:r>
        <w:rPr>
          <w:rFonts w:cs="Times New Roman"/>
          <w:b/>
          <w:u w:val="single"/>
        </w:rPr>
        <w:t>Spôsob o</w:t>
      </w:r>
      <w:r>
        <w:rPr>
          <w:rFonts w:cs="Times New Roman"/>
          <w:b/>
          <w:spacing w:val="-1"/>
          <w:u w:val="single"/>
        </w:rPr>
        <w:t>ce</w:t>
      </w:r>
      <w:r>
        <w:rPr>
          <w:rFonts w:cs="Times New Roman"/>
          <w:b/>
          <w:u w:val="single"/>
        </w:rPr>
        <w:t>ňov</w:t>
      </w:r>
      <w:r>
        <w:rPr>
          <w:rFonts w:cs="Times New Roman"/>
          <w:b/>
          <w:spacing w:val="-1"/>
          <w:u w:val="single"/>
        </w:rPr>
        <w:t>a</w:t>
      </w:r>
      <w:r>
        <w:rPr>
          <w:rFonts w:cs="Times New Roman"/>
          <w:b/>
          <w:u w:val="single"/>
        </w:rPr>
        <w:t>nia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</w:rPr>
        <w:t>jedn</w:t>
      </w:r>
      <w:r>
        <w:rPr>
          <w:rFonts w:cs="Times New Roman"/>
          <w:b/>
          <w:spacing w:val="1"/>
        </w:rPr>
        <w:t>o</w:t>
      </w:r>
      <w:r>
        <w:rPr>
          <w:rFonts w:cs="Times New Roman"/>
          <w:b/>
        </w:rPr>
        <w:t>tli</w:t>
      </w:r>
      <w:r>
        <w:rPr>
          <w:rFonts w:cs="Times New Roman"/>
          <w:b/>
          <w:spacing w:val="2"/>
        </w:rPr>
        <w:t>v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1"/>
        </w:rPr>
        <w:t xml:space="preserve"> </w:t>
      </w:r>
      <w:r>
        <w:rPr>
          <w:rFonts w:cs="Times New Roman"/>
          <w:b/>
        </w:rPr>
        <w:t>polo</w:t>
      </w:r>
      <w:r>
        <w:rPr>
          <w:rFonts w:cs="Times New Roman"/>
          <w:b/>
          <w:spacing w:val="1"/>
        </w:rPr>
        <w:t>ž</w:t>
      </w:r>
      <w:r>
        <w:rPr>
          <w:rFonts w:cs="Times New Roman"/>
          <w:b/>
        </w:rPr>
        <w:t>iek m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jetku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  <w:spacing w:val="-1"/>
        </w:rPr>
        <w:t>á</w:t>
      </w:r>
      <w:r>
        <w:rPr>
          <w:rFonts w:cs="Times New Roman"/>
          <w:b/>
        </w:rPr>
        <w:t>v</w:t>
      </w:r>
      <w:r>
        <w:rPr>
          <w:rFonts w:cs="Times New Roman"/>
          <w:b/>
          <w:spacing w:val="-1"/>
        </w:rPr>
        <w:t>ä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kov, a</w:t>
      </w:r>
      <w:r>
        <w:rPr>
          <w:rFonts w:cs="Times New Roman"/>
          <w:b/>
          <w:spacing w:val="-1"/>
        </w:rPr>
        <w:t> </w:t>
      </w:r>
      <w:r>
        <w:rPr>
          <w:rFonts w:cs="Times New Roman"/>
          <w:b/>
        </w:rPr>
        <w:t>to:</w:t>
      </w: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Názov položky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Dlhodobý n</w:t>
            </w:r>
            <w:r>
              <w:rPr>
                <w:rFonts w:cs="Times New Roman"/>
                <w:spacing w:val="-1"/>
              </w:rPr>
              <w:t>e</w:t>
            </w:r>
            <w:r>
              <w:rPr>
                <w:rFonts w:cs="Times New Roman"/>
              </w:rPr>
              <w:t>hmotný maj</w:t>
            </w:r>
            <w:r>
              <w:rPr>
                <w:rFonts w:cs="Times New Roman"/>
                <w:spacing w:val="-1"/>
              </w:rPr>
              <w:t>e</w:t>
            </w:r>
            <w:r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Obstarávacia cena + náklady súvisiace s obstaraním (clo, preprava, montáž, poistné a podobne)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Dlhodobý hmotný maj</w:t>
            </w:r>
            <w:r>
              <w:rPr>
                <w:rFonts w:cs="Times New Roman"/>
                <w:spacing w:val="-1"/>
              </w:rPr>
              <w:t>e</w:t>
            </w:r>
            <w:r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Obstarávacia cena + náklady súvisiace s obstaraním (clo, preprava, montáž, poistné a podobne)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Dlhodobý fin</w:t>
            </w:r>
            <w:r>
              <w:rPr>
                <w:rFonts w:cs="Times New Roman"/>
                <w:spacing w:val="-2"/>
              </w:rPr>
              <w:t>a</w:t>
            </w:r>
            <w:r>
              <w:rPr>
                <w:rFonts w:cs="Times New Roman"/>
              </w:rPr>
              <w:t>n</w:t>
            </w:r>
            <w:r>
              <w:rPr>
                <w:rFonts w:cs="Times New Roman"/>
                <w:spacing w:val="-1"/>
              </w:rPr>
              <w:t>č</w:t>
            </w:r>
            <w:r>
              <w:rPr>
                <w:rFonts w:cs="Times New Roman"/>
              </w:rPr>
              <w:t>ný ma</w:t>
            </w:r>
            <w:r>
              <w:rPr>
                <w:rFonts w:cs="Times New Roman"/>
                <w:spacing w:val="2"/>
              </w:rPr>
              <w:t>j</w:t>
            </w:r>
            <w:r>
              <w:rPr>
                <w:rFonts w:cs="Times New Roman"/>
                <w:spacing w:val="-1"/>
              </w:rPr>
              <w:t>e</w:t>
            </w:r>
            <w:r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Zásoby obst</w:t>
            </w:r>
            <w:r>
              <w:rPr>
                <w:rFonts w:cs="Times New Roman"/>
                <w:spacing w:val="-1"/>
              </w:rPr>
              <w:t>a</w:t>
            </w:r>
            <w:r>
              <w:rPr>
                <w:rFonts w:cs="Times New Roman"/>
              </w:rPr>
              <w:t>r</w:t>
            </w:r>
            <w:r>
              <w:rPr>
                <w:rFonts w:cs="Times New Roman"/>
                <w:spacing w:val="-2"/>
              </w:rPr>
              <w:t>a</w:t>
            </w:r>
            <w:r>
              <w:rPr>
                <w:rFonts w:cs="Times New Roman"/>
                <w:spacing w:val="4"/>
              </w:rPr>
              <w:t xml:space="preserve">né </w:t>
            </w:r>
            <w:r>
              <w:rPr>
                <w:rFonts w:cs="Times New Roman"/>
              </w:rPr>
              <w:t>kúpo</w:t>
            </w:r>
            <w:r>
              <w:rPr>
                <w:rFonts w:cs="Times New Roman"/>
                <w:spacing w:val="2"/>
              </w:rPr>
              <w:t>u: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Obstarávacia cena + náklady súvisiace s obstaraním (clo, preprava, poistné, provízie, skonto a podobne)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  <w:spacing w:val="1"/>
              </w:rPr>
              <w:t>Z</w:t>
            </w:r>
            <w:r>
              <w:rPr>
                <w:rFonts w:cs="Times New Roman"/>
                <w:spacing w:val="-1"/>
              </w:rPr>
              <w:t>á</w:t>
            </w:r>
            <w:r>
              <w:rPr>
                <w:rFonts w:cs="Times New Roman"/>
              </w:rPr>
              <w:t xml:space="preserve">soby </w:t>
            </w:r>
            <w:r>
              <w:rPr>
                <w:rFonts w:cs="Times New Roman"/>
                <w:spacing w:val="2"/>
              </w:rPr>
              <w:t>obstarané</w:t>
            </w:r>
            <w:r>
              <w:rPr>
                <w:rFonts w:cs="Times New Roman"/>
                <w:spacing w:val="4"/>
              </w:rPr>
              <w:t xml:space="preserve"> </w:t>
            </w:r>
            <w:r>
              <w:rPr>
                <w:rFonts w:cs="Times New Roman"/>
              </w:rPr>
              <w:t>vlastnou činnosťou: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Vlastné pohľ</w:t>
            </w:r>
            <w:r>
              <w:rPr>
                <w:rFonts w:cs="Times New Roman"/>
                <w:spacing w:val="-1"/>
              </w:rPr>
              <w:t>a</w:t>
            </w:r>
            <w:r>
              <w:rPr>
                <w:rFonts w:cs="Times New Roman"/>
              </w:rPr>
              <w:t>d</w:t>
            </w:r>
            <w:r>
              <w:rPr>
                <w:rFonts w:cs="Times New Roman"/>
                <w:spacing w:val="-1"/>
              </w:rPr>
              <w:t>á</w:t>
            </w:r>
            <w:r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Kúpené pohľ</w:t>
            </w:r>
            <w:r>
              <w:rPr>
                <w:rFonts w:cs="Times New Roman"/>
                <w:spacing w:val="-1"/>
              </w:rPr>
              <w:t>a</w:t>
            </w:r>
            <w:r>
              <w:rPr>
                <w:rFonts w:cs="Times New Roman"/>
              </w:rPr>
              <w:t>d</w:t>
            </w:r>
            <w:r>
              <w:rPr>
                <w:rFonts w:cs="Times New Roman"/>
                <w:spacing w:val="-1"/>
              </w:rPr>
              <w:t>á</w:t>
            </w:r>
            <w:r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Obstarávacia cena vrátane nákladov súvisiacich s obstaraním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K</w:t>
            </w:r>
            <w:r>
              <w:rPr>
                <w:rFonts w:cs="Times New Roman"/>
                <w:spacing w:val="-1"/>
              </w:rPr>
              <w:t>rá</w:t>
            </w:r>
            <w:r>
              <w:rPr>
                <w:rFonts w:cs="Times New Roman"/>
              </w:rPr>
              <w:t xml:space="preserve">tkodobý </w:t>
            </w:r>
            <w:r>
              <w:rPr>
                <w:rFonts w:cs="Times New Roman"/>
                <w:spacing w:val="-2"/>
              </w:rPr>
              <w:t>f</w:t>
            </w:r>
            <w:r>
              <w:rPr>
                <w:rFonts w:cs="Times New Roman"/>
              </w:rPr>
              <w:t>ina</w:t>
            </w:r>
            <w:r>
              <w:rPr>
                <w:rFonts w:cs="Times New Roman"/>
                <w:spacing w:val="1"/>
              </w:rPr>
              <w:t>n</w:t>
            </w:r>
            <w:r>
              <w:rPr>
                <w:rFonts w:cs="Times New Roman"/>
                <w:spacing w:val="-1"/>
              </w:rPr>
              <w:t>č</w:t>
            </w:r>
            <w:r>
              <w:rPr>
                <w:rFonts w:cs="Times New Roman"/>
              </w:rPr>
              <w:t>ný maj</w:t>
            </w:r>
            <w:r>
              <w:rPr>
                <w:rFonts w:cs="Times New Roman"/>
                <w:spacing w:val="-1"/>
              </w:rPr>
              <w:t>e</w:t>
            </w:r>
            <w:r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  <w:spacing w:val="-1"/>
              </w:rPr>
              <w:t>Zá</w:t>
            </w:r>
            <w:r>
              <w:rPr>
                <w:rFonts w:cs="Times New Roman"/>
              </w:rPr>
              <w:t>v</w:t>
            </w:r>
            <w:r>
              <w:rPr>
                <w:rFonts w:cs="Times New Roman"/>
                <w:spacing w:val="-1"/>
              </w:rPr>
              <w:t>ä</w:t>
            </w:r>
            <w:r>
              <w:rPr>
                <w:rFonts w:cs="Times New Roman"/>
                <w:spacing w:val="1"/>
              </w:rPr>
              <w:t>z</w:t>
            </w:r>
            <w:r>
              <w:rPr>
                <w:rFonts w:cs="Times New Roman"/>
              </w:rPr>
              <w:t>ky v</w:t>
            </w:r>
            <w:r>
              <w:rPr>
                <w:rFonts w:cs="Times New Roman"/>
                <w:spacing w:val="-1"/>
              </w:rPr>
              <w:t>rá</w:t>
            </w:r>
            <w:r>
              <w:rPr>
                <w:rFonts w:cs="Times New Roman"/>
              </w:rPr>
              <w:t>tane</w:t>
            </w:r>
            <w:r>
              <w:rPr>
                <w:rFonts w:cs="Times New Roman"/>
                <w:spacing w:val="-2"/>
              </w:rPr>
              <w:t xml:space="preserve"> </w:t>
            </w:r>
            <w:r>
              <w:rPr>
                <w:rFonts w:cs="Times New Roman"/>
                <w:spacing w:val="1"/>
              </w:rPr>
              <w:t>r</w:t>
            </w:r>
            <w:r>
              <w:rPr>
                <w:rFonts w:cs="Times New Roman"/>
                <w:spacing w:val="-1"/>
              </w:rPr>
              <w:t>e</w:t>
            </w:r>
            <w:r>
              <w:rPr>
                <w:rFonts w:cs="Times New Roman"/>
                <w:spacing w:val="1"/>
              </w:rPr>
              <w:t>z</w:t>
            </w:r>
            <w:r>
              <w:rPr>
                <w:rFonts w:cs="Times New Roman"/>
                <w:spacing w:val="-1"/>
              </w:rPr>
              <w:t>e</w:t>
            </w:r>
            <w:r>
              <w:rPr>
                <w:rFonts w:cs="Times New Roman"/>
              </w:rPr>
              <w:t>rv: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Dlhopisy: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Pô</w:t>
            </w:r>
            <w:r>
              <w:rPr>
                <w:rFonts w:cs="Times New Roman"/>
                <w:spacing w:val="1"/>
              </w:rPr>
              <w:t>ž</w:t>
            </w:r>
            <w:r>
              <w:rPr>
                <w:rFonts w:cs="Times New Roman"/>
              </w:rPr>
              <w:t>ičky a</w:t>
            </w:r>
            <w:r>
              <w:rPr>
                <w:rFonts w:cs="Times New Roman"/>
                <w:spacing w:val="1"/>
              </w:rPr>
              <w:t> </w:t>
            </w:r>
            <w:r>
              <w:rPr>
                <w:rFonts w:cs="Times New Roman"/>
              </w:rPr>
              <w:t>úv</w:t>
            </w:r>
            <w:r>
              <w:rPr>
                <w:rFonts w:cs="Times New Roman"/>
                <w:spacing w:val="-1"/>
              </w:rPr>
              <w:t>e</w:t>
            </w:r>
            <w:r>
              <w:rPr>
                <w:rFonts w:cs="Times New Roman"/>
              </w:rPr>
              <w:t>ry: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D</w:t>
            </w:r>
            <w:r>
              <w:rPr>
                <w:rFonts w:cs="Times New Roman"/>
                <w:spacing w:val="-1"/>
              </w:rPr>
              <w:t>e</w:t>
            </w:r>
            <w:r>
              <w:rPr>
                <w:rFonts w:cs="Times New Roman"/>
              </w:rPr>
              <w:t>riv</w:t>
            </w:r>
            <w:r>
              <w:rPr>
                <w:rFonts w:cs="Times New Roman"/>
                <w:spacing w:val="-2"/>
              </w:rPr>
              <w:t>á</w:t>
            </w:r>
            <w:r>
              <w:rPr>
                <w:rFonts w:cs="Times New Roman"/>
              </w:rPr>
              <w:t>to</w:t>
            </w:r>
            <w:r>
              <w:rPr>
                <w:rFonts w:cs="Times New Roman"/>
                <w:spacing w:val="5"/>
              </w:rPr>
              <w:t xml:space="preserve">vé </w:t>
            </w:r>
            <w:r>
              <w:rPr>
                <w:rFonts w:cs="Times New Roman"/>
              </w:rPr>
              <w:t>op</w:t>
            </w:r>
            <w:r>
              <w:rPr>
                <w:rFonts w:cs="Times New Roman"/>
                <w:spacing w:val="1"/>
              </w:rPr>
              <w:t>e</w:t>
            </w:r>
            <w:r>
              <w:rPr>
                <w:rFonts w:cs="Times New Roman"/>
              </w:rPr>
              <w:t>rá</w:t>
            </w:r>
            <w:r>
              <w:rPr>
                <w:rFonts w:cs="Times New Roman"/>
                <w:spacing w:val="-1"/>
              </w:rPr>
              <w:t>c</w:t>
            </w:r>
            <w:r>
              <w:rPr>
                <w:rFonts w:cs="Times New Roman"/>
              </w:rPr>
              <w:t>ie:</w:t>
            </w:r>
          </w:p>
        </w:tc>
        <w:tc>
          <w:tcPr>
            <w:tcW w:w="4844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Menovitá hodnota</w:t>
            </w:r>
          </w:p>
        </w:tc>
      </w:tr>
    </w:tbl>
    <w:p>
      <w:pPr>
        <w:pStyle w:val="6"/>
        <w:tabs>
          <w:tab w:val="left" w:pos="808"/>
        </w:tabs>
        <w:ind w:left="0" w:firstLine="0"/>
        <w:jc w:val="both"/>
        <w:rPr>
          <w:rFonts w:cs="Times New Roman"/>
        </w:rPr>
      </w:pP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b/>
        </w:rPr>
      </w:pPr>
      <w:r>
        <w:rPr>
          <w:rFonts w:cs="Times New Roman"/>
          <w:b/>
        </w:rPr>
        <w:t>3. Spôsob</w:t>
      </w:r>
      <w:r>
        <w:rPr>
          <w:rFonts w:cs="Times New Roman"/>
          <w:b/>
          <w:spacing w:val="19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o</w:t>
      </w:r>
      <w:r>
        <w:rPr>
          <w:rFonts w:cs="Times New Roman"/>
          <w:b/>
          <w:spacing w:val="-3"/>
        </w:rPr>
        <w:t>s</w:t>
      </w:r>
      <w:r>
        <w:rPr>
          <w:rFonts w:cs="Times New Roman"/>
          <w:b/>
        </w:rPr>
        <w:t>tav</w:t>
      </w:r>
      <w:r>
        <w:rPr>
          <w:rFonts w:cs="Times New Roman"/>
          <w:b/>
          <w:spacing w:val="-2"/>
        </w:rPr>
        <w:t>e</w:t>
      </w:r>
      <w:r>
        <w:rPr>
          <w:rFonts w:cs="Times New Roman"/>
          <w:b/>
        </w:rPr>
        <w:t>nia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  <w:u w:val="single"/>
        </w:rPr>
        <w:t>odpisov</w:t>
      </w:r>
      <w:r>
        <w:rPr>
          <w:rFonts w:cs="Times New Roman"/>
          <w:b/>
          <w:spacing w:val="-1"/>
          <w:u w:val="single"/>
        </w:rPr>
        <w:t>é</w:t>
      </w:r>
      <w:r>
        <w:rPr>
          <w:rFonts w:cs="Times New Roman"/>
          <w:b/>
          <w:u w:val="single"/>
        </w:rPr>
        <w:t>ho</w:t>
      </w:r>
      <w:r>
        <w:rPr>
          <w:rFonts w:cs="Times New Roman"/>
          <w:b/>
          <w:spacing w:val="18"/>
          <w:u w:val="single"/>
        </w:rPr>
        <w:t xml:space="preserve"> </w:t>
      </w:r>
      <w:r>
        <w:rPr>
          <w:rFonts w:cs="Times New Roman"/>
          <w:b/>
          <w:u w:val="single"/>
        </w:rPr>
        <w:t>plánu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</w:rPr>
        <w:t>p</w:t>
      </w:r>
      <w:r>
        <w:rPr>
          <w:rFonts w:cs="Times New Roman"/>
          <w:b/>
          <w:spacing w:val="-1"/>
        </w:rPr>
        <w:t>r</w:t>
      </w:r>
      <w:r>
        <w:rPr>
          <w:rFonts w:cs="Times New Roman"/>
          <w:b/>
        </w:rPr>
        <w:t>e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</w:rPr>
        <w:t>jednotlivé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r</w:t>
      </w:r>
      <w:r>
        <w:rPr>
          <w:rFonts w:cs="Times New Roman"/>
          <w:b/>
          <w:spacing w:val="3"/>
        </w:rPr>
        <w:t>u</w:t>
      </w:r>
      <w:r>
        <w:rPr>
          <w:rFonts w:cs="Times New Roman"/>
          <w:b/>
          <w:spacing w:val="2"/>
        </w:rPr>
        <w:t>h</w:t>
      </w:r>
      <w:r>
        <w:rPr>
          <w:rFonts w:cs="Times New Roman"/>
          <w:b/>
        </w:rPr>
        <w:t>y</w:t>
      </w:r>
      <w:r>
        <w:rPr>
          <w:rFonts w:cs="Times New Roman"/>
          <w:b/>
          <w:spacing w:val="14"/>
        </w:rPr>
        <w:t xml:space="preserve"> </w:t>
      </w:r>
      <w:r>
        <w:rPr>
          <w:rFonts w:cs="Times New Roman"/>
          <w:b/>
        </w:rPr>
        <w:t>dlhodobého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  <w:spacing w:val="2"/>
        </w:rPr>
        <w:t>h</w:t>
      </w:r>
      <w:r>
        <w:rPr>
          <w:rFonts w:cs="Times New Roman"/>
          <w:b/>
        </w:rPr>
        <w:t>motn</w:t>
      </w:r>
      <w:r>
        <w:rPr>
          <w:rFonts w:cs="Times New Roman"/>
          <w:b/>
          <w:spacing w:val="-1"/>
        </w:rPr>
        <w:t>é</w:t>
      </w:r>
      <w:r>
        <w:rPr>
          <w:rFonts w:cs="Times New Roman"/>
          <w:b/>
        </w:rPr>
        <w:t>ho</w:t>
      </w:r>
      <w:r>
        <w:rPr>
          <w:rFonts w:cs="Times New Roman"/>
          <w:b/>
          <w:spacing w:val="18"/>
        </w:rPr>
        <w:t xml:space="preserve"> </w:t>
      </w:r>
      <w:r>
        <w:rPr>
          <w:rFonts w:cs="Times New Roman"/>
          <w:b/>
        </w:rPr>
        <w:t>maj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tku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</w:rPr>
        <w:t>dlhodobého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n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hmotn</w:t>
      </w:r>
      <w:r>
        <w:rPr>
          <w:rFonts w:cs="Times New Roman"/>
          <w:b/>
          <w:spacing w:val="1"/>
        </w:rPr>
        <w:t>é</w:t>
      </w:r>
      <w:r>
        <w:rPr>
          <w:rFonts w:cs="Times New Roman"/>
          <w:b/>
        </w:rPr>
        <w:t>ho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maj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tku,</w:t>
      </w:r>
      <w:r>
        <w:rPr>
          <w:rFonts w:cs="Times New Roman"/>
          <w:b/>
          <w:spacing w:val="31"/>
        </w:rPr>
        <w:t xml:space="preserve"> 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doba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odpisov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nia,</w:t>
      </w:r>
      <w:r>
        <w:rPr>
          <w:rFonts w:cs="Times New Roman"/>
          <w:b/>
          <w:spacing w:val="32"/>
        </w:rPr>
        <w:t xml:space="preserve"> </w:t>
      </w:r>
      <w:r>
        <w:rPr>
          <w:rFonts w:cs="Times New Roman"/>
          <w:b/>
        </w:rPr>
        <w:t>pou</w:t>
      </w:r>
      <w:r>
        <w:rPr>
          <w:rFonts w:cs="Times New Roman"/>
          <w:b/>
          <w:spacing w:val="1"/>
        </w:rPr>
        <w:t>ž</w:t>
      </w:r>
      <w:r>
        <w:rPr>
          <w:rFonts w:cs="Times New Roman"/>
          <w:b/>
        </w:rPr>
        <w:t>ité</w:t>
      </w:r>
      <w:r>
        <w:rPr>
          <w:rFonts w:cs="Times New Roman"/>
          <w:b/>
          <w:spacing w:val="30"/>
        </w:rPr>
        <w:t xml:space="preserve"> </w:t>
      </w:r>
      <w:r>
        <w:rPr>
          <w:rFonts w:cs="Times New Roman"/>
          <w:b/>
        </w:rPr>
        <w:t>s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d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  <w:spacing w:val="2"/>
        </w:rPr>
        <w:t>b</w:t>
      </w:r>
      <w:r>
        <w:rPr>
          <w:rFonts w:cs="Times New Roman"/>
          <w:b/>
        </w:rPr>
        <w:t>y odpisov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</w:rPr>
        <w:t>odpisové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</w:rPr>
        <w:t>metó</w:t>
      </w:r>
      <w:r>
        <w:rPr>
          <w:rFonts w:cs="Times New Roman"/>
          <w:b/>
          <w:spacing w:val="2"/>
        </w:rPr>
        <w:t>d</w:t>
      </w:r>
      <w:r>
        <w:rPr>
          <w:rFonts w:cs="Times New Roman"/>
          <w:b/>
        </w:rPr>
        <w:t>y</w:t>
      </w:r>
      <w:r>
        <w:rPr>
          <w:rFonts w:cs="Times New Roman"/>
          <w:b/>
          <w:spacing w:val="-5"/>
        </w:rPr>
        <w:t xml:space="preserve"> </w:t>
      </w:r>
      <w:r>
        <w:rPr>
          <w:rFonts w:cs="Times New Roman"/>
          <w:b/>
        </w:rPr>
        <w:t>pri stanovení účtovných odpisov:</w:t>
      </w: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4"/>
        <w:tblW w:w="10220" w:type="dxa"/>
        <w:tblInd w:w="7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>Dlhodobý nehmotný majetok nakupovaný sa oceňuje obstarávacou cenou, ktorá zahŕňa cenu obstarania a náklady súvisiace s obstaraním (clo, prepravu, montáž, poistné a pod.).</w:t>
            </w:r>
          </w:p>
          <w:p>
            <w:pPr>
              <w:widowControl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>
            <w:pPr>
              <w:widowControl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>Dlhodobý hmotný majetok nakupovaný sa oceňuje obstarávacou cenou, ktorá zahŕňa cenu obstarania a náklady súvisiace s obstaraním (clo, prepravu, montáž, poistné a pod.).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>Dlhodobý majetok vytvorený vlastnou činnosťou sa oceňuje vlastnými nákladmi. Vlastnými nákladmi sú všetky priame náklady vynaložené na výrobu alebo inú činnosť a nepriame náklady, ktoré sa vzťahujú na výrobu alebo inú činnosť.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Účtovná jednotka si určuje výšku odpisov dlhodobého majetku v odpisovom pláne, na základe očakávaného použitia majetku a intenzity využitia a tiež na základe očakávaného fyzického opotrebenia majetku, ktorý zodpovedá bežným podmienkam využitia. Hmotný majetok odpisuje účtovná jednotka počas predpokladanej doby používania zodpovedajúcej spotrebe budúcich ekonomických úžitkov z majetku. Účtovné odpisy sa účtujú v zmysle § 69 ods. 2 postupov účtovania na účte 551- Odpisy dlhodobého nehmotného a dlhodobého hmotného majetku. O účtovných odpisoch účtovná jednotka účtuje 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sz w:val="24"/>
                <w:szCs w:val="24"/>
                <w:lang w:eastAsia="sk-SK"/>
              </w:rPr>
              <w:t>mesačne</w:t>
            </w:r>
            <w:r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>. Majetok začne odpisovať mesiacom, v ktorom dôjde k zaradeniu majetku do používania po splnení všetkých technických podmienok.</w:t>
            </w:r>
          </w:p>
          <w:p>
            <w:pPr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Odpisy dlhodobého majetku sú stanovené vychádzajúc z predpokladanej doby jeho používania a predpokladaného priebehu jeho opotrebenia. Odpisovať sa začína prvým dňom mesiaca uvedenia dlhodobého majetku do používania. </w:t>
            </w:r>
          </w:p>
          <w:p>
            <w:pPr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>
            <w:pPr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>O drobnom dlhodobom hmotnom majetku, ktorého obstarávacia cena (resp. vlastné náklady) je 1700 € a menej, účtovná jednotka účtuje do nákladov (ako pri zásobách).</w:t>
            </w:r>
          </w:p>
          <w:p>
            <w:pPr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>
            <w:pPr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>O drobnom dlhodobom nehmotnom majetku, ktorého obstarávacia cena (resp. vlastné náklady) je 2400 € a menej, účtovná jednotka účtuje do nákladov.</w:t>
            </w:r>
          </w:p>
          <w:p>
            <w:pPr>
              <w:widowControl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b/>
          <w:spacing w:val="-5"/>
        </w:rPr>
      </w:pPr>
      <w:r>
        <w:rPr>
          <w:rFonts w:cs="Times New Roman"/>
          <w:b/>
        </w:rPr>
        <w:t xml:space="preserve">4. </w:t>
      </w:r>
      <w:r>
        <w:rPr>
          <w:rFonts w:cs="Times New Roman"/>
          <w:b/>
          <w:spacing w:val="-3"/>
          <w:u w:val="single"/>
        </w:rPr>
        <w:t>Z</w:t>
      </w:r>
      <w:r>
        <w:rPr>
          <w:rFonts w:cs="Times New Roman"/>
          <w:b/>
          <w:u w:val="single"/>
        </w:rPr>
        <w:t>me</w:t>
      </w:r>
      <w:r>
        <w:rPr>
          <w:rFonts w:cs="Times New Roman"/>
          <w:b/>
          <w:spacing w:val="4"/>
          <w:u w:val="single"/>
        </w:rPr>
        <w:t>n</w:t>
      </w:r>
      <w:r>
        <w:rPr>
          <w:rFonts w:cs="Times New Roman"/>
          <w:b/>
          <w:u w:val="single"/>
        </w:rPr>
        <w:t>y</w:t>
      </w:r>
      <w:r>
        <w:rPr>
          <w:rFonts w:cs="Times New Roman"/>
          <w:b/>
          <w:spacing w:val="2"/>
          <w:u w:val="single"/>
        </w:rPr>
        <w:t xml:space="preserve"> </w:t>
      </w:r>
      <w:r>
        <w:rPr>
          <w:rFonts w:cs="Times New Roman"/>
          <w:b/>
          <w:u w:val="single"/>
        </w:rPr>
        <w:t>ú</w:t>
      </w:r>
      <w:r>
        <w:rPr>
          <w:rFonts w:cs="Times New Roman"/>
          <w:b/>
          <w:spacing w:val="-1"/>
          <w:u w:val="single"/>
        </w:rPr>
        <w:t>č</w:t>
      </w:r>
      <w:r>
        <w:rPr>
          <w:rFonts w:cs="Times New Roman"/>
          <w:b/>
          <w:u w:val="single"/>
        </w:rPr>
        <w:t>tov</w:t>
      </w:r>
      <w:r>
        <w:rPr>
          <w:rFonts w:cs="Times New Roman"/>
          <w:b/>
          <w:spacing w:val="5"/>
          <w:u w:val="single"/>
        </w:rPr>
        <w:t>n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u w:val="single"/>
        </w:rPr>
        <w:t xml:space="preserve">h </w:t>
      </w:r>
      <w:r>
        <w:rPr>
          <w:rFonts w:cs="Times New Roman"/>
          <w:b/>
          <w:spacing w:val="6"/>
          <w:u w:val="single"/>
        </w:rPr>
        <w:t xml:space="preserve"> </w:t>
      </w:r>
      <w:r>
        <w:rPr>
          <w:rFonts w:cs="Times New Roman"/>
          <w:b/>
          <w:spacing w:val="1"/>
          <w:u w:val="single"/>
        </w:rPr>
        <w:t>z</w:t>
      </w:r>
      <w:r>
        <w:rPr>
          <w:rFonts w:cs="Times New Roman"/>
          <w:b/>
          <w:spacing w:val="-1"/>
          <w:u w:val="single"/>
        </w:rPr>
        <w:t>á</w:t>
      </w:r>
      <w:r>
        <w:rPr>
          <w:rFonts w:cs="Times New Roman"/>
          <w:b/>
          <w:u w:val="single"/>
        </w:rPr>
        <w:t>s</w:t>
      </w:r>
      <w:r>
        <w:rPr>
          <w:rFonts w:cs="Times New Roman"/>
          <w:b/>
          <w:spacing w:val="1"/>
          <w:u w:val="single"/>
        </w:rPr>
        <w:t>a</w:t>
      </w:r>
      <w:r>
        <w:rPr>
          <w:rFonts w:cs="Times New Roman"/>
          <w:b/>
          <w:u w:val="single"/>
        </w:rPr>
        <w:t xml:space="preserve">d </w:t>
      </w:r>
      <w:r>
        <w:rPr>
          <w:rFonts w:cs="Times New Roman"/>
          <w:b/>
          <w:spacing w:val="6"/>
          <w:u w:val="single"/>
        </w:rPr>
        <w:t xml:space="preserve"> </w:t>
      </w:r>
      <w:r>
        <w:rPr>
          <w:rFonts w:cs="Times New Roman"/>
          <w:b/>
          <w:u w:val="single"/>
        </w:rPr>
        <w:t>a</w:t>
      </w:r>
      <w:r>
        <w:rPr>
          <w:rFonts w:cs="Times New Roman"/>
          <w:b/>
          <w:spacing w:val="1"/>
          <w:u w:val="single"/>
        </w:rPr>
        <w:t xml:space="preserve"> z</w:t>
      </w:r>
      <w:r>
        <w:rPr>
          <w:rFonts w:cs="Times New Roman"/>
          <w:b/>
          <w:u w:val="single"/>
        </w:rPr>
        <w:t>me</w:t>
      </w:r>
      <w:r>
        <w:rPr>
          <w:rFonts w:cs="Times New Roman"/>
          <w:b/>
          <w:spacing w:val="1"/>
          <w:u w:val="single"/>
        </w:rPr>
        <w:t>n</w:t>
      </w:r>
      <w:r>
        <w:rPr>
          <w:rFonts w:cs="Times New Roman"/>
          <w:b/>
          <w:u w:val="single"/>
        </w:rPr>
        <w:t>y</w:t>
      </w:r>
      <w:r>
        <w:rPr>
          <w:rFonts w:cs="Times New Roman"/>
          <w:b/>
          <w:spacing w:val="59"/>
          <w:u w:val="single"/>
        </w:rPr>
        <w:t xml:space="preserve"> </w:t>
      </w:r>
      <w:r>
        <w:rPr>
          <w:rFonts w:cs="Times New Roman"/>
          <w:b/>
          <w:u w:val="single"/>
        </w:rPr>
        <w:t>ú</w:t>
      </w:r>
      <w:r>
        <w:rPr>
          <w:rFonts w:cs="Times New Roman"/>
          <w:b/>
          <w:spacing w:val="-1"/>
          <w:u w:val="single"/>
        </w:rPr>
        <w:t>č</w:t>
      </w:r>
      <w:r>
        <w:rPr>
          <w:rFonts w:cs="Times New Roman"/>
          <w:b/>
          <w:u w:val="single"/>
        </w:rPr>
        <w:t>tov</w:t>
      </w:r>
      <w:r>
        <w:rPr>
          <w:rFonts w:cs="Times New Roman"/>
          <w:b/>
          <w:spacing w:val="5"/>
          <w:u w:val="single"/>
        </w:rPr>
        <w:t>n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spacing w:val="1"/>
          <w:u w:val="single"/>
        </w:rPr>
        <w:t>c</w:t>
      </w:r>
      <w:r>
        <w:rPr>
          <w:rFonts w:cs="Times New Roman"/>
          <w:b/>
          <w:u w:val="single"/>
        </w:rPr>
        <w:t xml:space="preserve">h </w:t>
      </w:r>
      <w:r>
        <w:rPr>
          <w:rFonts w:cs="Times New Roman"/>
          <w:b/>
          <w:spacing w:val="6"/>
          <w:u w:val="single"/>
        </w:rPr>
        <w:t xml:space="preserve"> </w:t>
      </w:r>
      <w:r>
        <w:rPr>
          <w:rFonts w:cs="Times New Roman"/>
          <w:b/>
          <w:u w:val="single"/>
        </w:rPr>
        <w:t>metód</w:t>
      </w:r>
      <w:r>
        <w:rPr>
          <w:rFonts w:cs="Times New Roman"/>
          <w:b/>
        </w:rPr>
        <w:t xml:space="preserve"> </w:t>
      </w:r>
      <w:r>
        <w:rPr>
          <w:rFonts w:cs="Times New Roman"/>
          <w:b/>
          <w:spacing w:val="6"/>
        </w:rPr>
        <w:t xml:space="preserve"> </w:t>
      </w:r>
      <w:r>
        <w:rPr>
          <w:rFonts w:cs="Times New Roman"/>
          <w:b/>
        </w:rPr>
        <w:t>s</w:t>
      </w:r>
      <w:r>
        <w:rPr>
          <w:rFonts w:cs="Times New Roman"/>
          <w:b/>
          <w:spacing w:val="2"/>
        </w:rPr>
        <w:t xml:space="preserve"> </w:t>
      </w:r>
      <w:r>
        <w:rPr>
          <w:rFonts w:cs="Times New Roman"/>
          <w:b/>
        </w:rPr>
        <w:t>uv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 xml:space="preserve">ním </w:t>
      </w:r>
      <w:r>
        <w:rPr>
          <w:rFonts w:cs="Times New Roman"/>
          <w:b/>
          <w:spacing w:val="7"/>
        </w:rPr>
        <w:t xml:space="preserve"> </w:t>
      </w:r>
      <w:r>
        <w:rPr>
          <w:rFonts w:cs="Times New Roman"/>
          <w:b/>
        </w:rPr>
        <w:t>dôv</w:t>
      </w:r>
      <w:r>
        <w:rPr>
          <w:rFonts w:cs="Times New Roman"/>
          <w:b/>
          <w:spacing w:val="-3"/>
        </w:rPr>
        <w:t>o</w:t>
      </w:r>
      <w:r>
        <w:rPr>
          <w:rFonts w:cs="Times New Roman"/>
          <w:b/>
        </w:rPr>
        <w:t xml:space="preserve">du </w:t>
      </w:r>
      <w:r>
        <w:rPr>
          <w:rFonts w:cs="Times New Roman"/>
          <w:b/>
          <w:spacing w:val="6"/>
        </w:rPr>
        <w:t xml:space="preserve"> </w:t>
      </w:r>
      <w:r>
        <w:rPr>
          <w:rFonts w:cs="Times New Roman"/>
          <w:b/>
          <w:spacing w:val="2"/>
        </w:rPr>
        <w:t>t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 xml:space="preserve">hto </w:t>
      </w:r>
      <w:r>
        <w:rPr>
          <w:rFonts w:cs="Times New Roman"/>
          <w:b/>
          <w:spacing w:val="7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mi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  <w:spacing w:val="2"/>
        </w:rPr>
        <w:t>v</w:t>
      </w:r>
      <w:r>
        <w:rPr>
          <w:rFonts w:cs="Times New Roman"/>
          <w:b/>
          <w:spacing w:val="-5"/>
        </w:rPr>
        <w:t>y</w:t>
      </w:r>
      <w:r>
        <w:rPr>
          <w:rFonts w:cs="Times New Roman"/>
          <w:b/>
          <w:spacing w:val="1"/>
        </w:rPr>
        <w:t>č</w:t>
      </w:r>
      <w:r>
        <w:rPr>
          <w:rFonts w:cs="Times New Roman"/>
          <w:b/>
        </w:rPr>
        <w:t>ísl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ním</w:t>
      </w:r>
      <w:r>
        <w:rPr>
          <w:rFonts w:cs="Times New Roman"/>
          <w:b/>
          <w:spacing w:val="12"/>
        </w:rPr>
        <w:t xml:space="preserve"> </w:t>
      </w:r>
      <w:r>
        <w:rPr>
          <w:rFonts w:cs="Times New Roman"/>
          <w:b/>
          <w:spacing w:val="1"/>
        </w:rPr>
        <w:t>i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 xml:space="preserve">h </w:t>
      </w:r>
      <w:r>
        <w:rPr>
          <w:rFonts w:cs="Times New Roman"/>
          <w:b/>
          <w:spacing w:val="11"/>
        </w:rPr>
        <w:t xml:space="preserve"> </w:t>
      </w:r>
      <w:r>
        <w:rPr>
          <w:rFonts w:cs="Times New Roman"/>
          <w:b/>
        </w:rPr>
        <w:t>vp</w:t>
      </w:r>
      <w:r>
        <w:rPr>
          <w:rFonts w:cs="Times New Roman"/>
          <w:b/>
          <w:spacing w:val="2"/>
        </w:rPr>
        <w:t>l</w:t>
      </w:r>
      <w:r>
        <w:rPr>
          <w:rFonts w:cs="Times New Roman"/>
          <w:b/>
          <w:spacing w:val="-5"/>
        </w:rPr>
        <w:t>y</w:t>
      </w:r>
      <w:r>
        <w:rPr>
          <w:rFonts w:cs="Times New Roman"/>
          <w:b/>
        </w:rPr>
        <w:t xml:space="preserve">vu </w:t>
      </w:r>
      <w:r>
        <w:rPr>
          <w:rFonts w:cs="Times New Roman"/>
          <w:b/>
          <w:spacing w:val="13"/>
        </w:rPr>
        <w:t xml:space="preserve"> </w:t>
      </w:r>
      <w:r>
        <w:rPr>
          <w:rFonts w:cs="Times New Roman"/>
          <w:b/>
        </w:rPr>
        <w:t xml:space="preserve">na </w:t>
      </w:r>
      <w:r>
        <w:rPr>
          <w:rFonts w:cs="Times New Roman"/>
          <w:b/>
          <w:spacing w:val="10"/>
        </w:rPr>
        <w:t xml:space="preserve"> </w:t>
      </w:r>
      <w:r>
        <w:rPr>
          <w:rFonts w:cs="Times New Roman"/>
          <w:b/>
        </w:rPr>
        <w:t>fin</w:t>
      </w:r>
      <w:r>
        <w:rPr>
          <w:rFonts w:cs="Times New Roman"/>
          <w:b/>
          <w:spacing w:val="-2"/>
        </w:rPr>
        <w:t>a</w:t>
      </w:r>
      <w:r>
        <w:rPr>
          <w:rFonts w:cs="Times New Roman"/>
          <w:b/>
        </w:rPr>
        <w:t>n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 xml:space="preserve">nú </w:t>
      </w:r>
      <w:r>
        <w:rPr>
          <w:rFonts w:cs="Times New Roman"/>
          <w:b/>
          <w:spacing w:val="11"/>
        </w:rPr>
        <w:t xml:space="preserve"> </w:t>
      </w:r>
      <w:r>
        <w:rPr>
          <w:rFonts w:cs="Times New Roman"/>
          <w:b/>
        </w:rPr>
        <w:t xml:space="preserve">hodnotu </w:t>
      </w:r>
      <w:r>
        <w:rPr>
          <w:rFonts w:cs="Times New Roman"/>
          <w:b/>
          <w:spacing w:val="12"/>
        </w:rPr>
        <w:t xml:space="preserve"> </w:t>
      </w:r>
      <w:r>
        <w:rPr>
          <w:rFonts w:cs="Times New Roman"/>
          <w:b/>
        </w:rPr>
        <w:t>maj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 xml:space="preserve">tku, </w:t>
      </w:r>
      <w:r>
        <w:rPr>
          <w:rFonts w:cs="Times New Roman"/>
          <w:b/>
          <w:spacing w:val="12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  <w:spacing w:val="-1"/>
        </w:rPr>
        <w:t>á</w:t>
      </w:r>
      <w:r>
        <w:rPr>
          <w:rFonts w:cs="Times New Roman"/>
          <w:b/>
        </w:rPr>
        <w:t>v</w:t>
      </w:r>
      <w:r>
        <w:rPr>
          <w:rFonts w:cs="Times New Roman"/>
          <w:b/>
          <w:spacing w:val="-1"/>
        </w:rPr>
        <w:t>ä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 xml:space="preserve">kov, </w:t>
      </w:r>
      <w:r>
        <w:rPr>
          <w:rFonts w:cs="Times New Roman"/>
          <w:b/>
          <w:spacing w:val="11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  <w:spacing w:val="-1"/>
        </w:rPr>
        <w:t>á</w:t>
      </w:r>
      <w:r>
        <w:rPr>
          <w:rFonts w:cs="Times New Roman"/>
          <w:b/>
          <w:spacing w:val="-3"/>
        </w:rPr>
        <w:t>k</w:t>
      </w:r>
      <w:r>
        <w:rPr>
          <w:rFonts w:cs="Times New Roman"/>
          <w:b/>
        </w:rPr>
        <w:t>ladn</w:t>
      </w:r>
      <w:r>
        <w:rPr>
          <w:rFonts w:cs="Times New Roman"/>
          <w:b/>
          <w:spacing w:val="-2"/>
        </w:rPr>
        <w:t>é</w:t>
      </w:r>
      <w:r>
        <w:rPr>
          <w:rFonts w:cs="Times New Roman"/>
          <w:b/>
        </w:rPr>
        <w:t xml:space="preserve">ho </w:t>
      </w:r>
      <w:r>
        <w:rPr>
          <w:rFonts w:cs="Times New Roman"/>
          <w:b/>
          <w:spacing w:val="11"/>
        </w:rPr>
        <w:t xml:space="preserve"> </w:t>
      </w:r>
      <w:r>
        <w:rPr>
          <w:rFonts w:cs="Times New Roman"/>
          <w:b/>
        </w:rPr>
        <w:t>im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nia a</w:t>
      </w:r>
      <w:r>
        <w:rPr>
          <w:rFonts w:cs="Times New Roman"/>
          <w:b/>
          <w:spacing w:val="-1"/>
        </w:rPr>
        <w:t xml:space="preserve"> </w:t>
      </w:r>
      <w:r>
        <w:rPr>
          <w:rFonts w:cs="Times New Roman"/>
          <w:b/>
          <w:spacing w:val="2"/>
        </w:rPr>
        <w:t>v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</w:rPr>
        <w:t>sled</w:t>
      </w:r>
      <w:r>
        <w:rPr>
          <w:rFonts w:cs="Times New Roman"/>
          <w:b/>
          <w:spacing w:val="1"/>
        </w:rPr>
        <w:t>k</w:t>
      </w:r>
      <w:r>
        <w:rPr>
          <w:rFonts w:cs="Times New Roman"/>
          <w:b/>
        </w:rPr>
        <w:t>u hospod</w:t>
      </w:r>
      <w:r>
        <w:rPr>
          <w:rFonts w:cs="Times New Roman"/>
          <w:b/>
          <w:spacing w:val="-1"/>
        </w:rPr>
        <w:t>á</w:t>
      </w:r>
      <w:r>
        <w:rPr>
          <w:rFonts w:cs="Times New Roman"/>
          <w:b/>
          <w:spacing w:val="1"/>
        </w:rPr>
        <w:t>r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nia</w:t>
      </w:r>
      <w:r>
        <w:rPr>
          <w:rFonts w:cs="Times New Roman"/>
          <w:b/>
          <w:spacing w:val="1"/>
        </w:rPr>
        <w:t xml:space="preserve"> </w:t>
      </w:r>
      <w:r>
        <w:rPr>
          <w:rFonts w:cs="Times New Roman"/>
          <w:b/>
        </w:rPr>
        <w:t>ú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>tovnej jednot</w:t>
      </w:r>
      <w:r>
        <w:rPr>
          <w:rFonts w:cs="Times New Roman"/>
          <w:b/>
          <w:spacing w:val="2"/>
        </w:rPr>
        <w:t>k</w:t>
      </w:r>
      <w:r>
        <w:rPr>
          <w:rFonts w:cs="Times New Roman"/>
          <w:b/>
          <w:spacing w:val="-5"/>
        </w:rPr>
        <w:t>y:</w:t>
      </w: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spacing w:val="-5"/>
        </w:rPr>
      </w:pP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b/>
          <w:bCs/>
          <w:color w:val="000000"/>
          <w:lang w:eastAsia="sk-SK"/>
        </w:rPr>
      </w:pPr>
      <w:r>
        <w:rPr>
          <w:rFonts w:cs="Times New Roman"/>
          <w:spacing w:val="-5"/>
        </w:rPr>
        <w:t>Účtovné metódy a zásady boli aplikované v rámci platného zákona o účtovníctve počas celého účtovného obdobia. Zmena sa týka iba účtovných zásad a účtovných metód, ktorá nastala z dôvodu  prechodu na mikro účtovnú závierku a </w:t>
      </w:r>
      <w:r>
        <w:rPr>
          <w:rFonts w:cs="Times New Roman"/>
          <w:bCs/>
          <w:color w:val="000000"/>
          <w:lang w:eastAsia="sk-SK"/>
        </w:rPr>
        <w:t>zmenu v účtovaní časového rozlíšenia</w:t>
      </w:r>
      <w:r>
        <w:rPr>
          <w:rFonts w:cs="Times New Roman"/>
          <w:color w:val="000000"/>
          <w:lang w:eastAsia="sk-SK"/>
        </w:rPr>
        <w:t xml:space="preserve"> z titulu "prechodu" na mikro účtovnú jednotku (postup v zmysle § 56 ods. 14 PÚ platných od 31.12.2014). </w:t>
      </w:r>
      <w:r>
        <w:rPr>
          <w:rFonts w:cs="Times New Roman"/>
          <w:b/>
          <w:color w:val="000000"/>
          <w:lang w:eastAsia="sk-SK"/>
        </w:rPr>
        <w:t>Spoločnosť neúčtuje</w:t>
      </w:r>
      <w:r>
        <w:rPr>
          <w:rFonts w:cs="Times New Roman"/>
          <w:b/>
          <w:bCs/>
          <w:color w:val="000000"/>
          <w:lang w:eastAsia="sk-SK"/>
        </w:rPr>
        <w:t xml:space="preserve"> na účtoch časového rozlíšenia</w:t>
      </w:r>
      <w:r>
        <w:rPr>
          <w:rFonts w:cs="Times New Roman"/>
          <w:b/>
          <w:color w:val="000000"/>
          <w:lang w:eastAsia="sk-SK"/>
        </w:rPr>
        <w:t xml:space="preserve">, ak ide o </w:t>
      </w:r>
      <w:r>
        <w:rPr>
          <w:rFonts w:cs="Times New Roman"/>
          <w:b/>
          <w:bCs/>
          <w:color w:val="000000"/>
          <w:lang w:eastAsia="sk-SK"/>
        </w:rPr>
        <w:t>nevýznamné sumy</w:t>
      </w:r>
      <w:r>
        <w:rPr>
          <w:rFonts w:cs="Times New Roman"/>
          <w:b/>
          <w:color w:val="000000"/>
          <w:lang w:eastAsia="sk-SK"/>
        </w:rPr>
        <w:t xml:space="preserve"> a </w:t>
      </w:r>
      <w:r>
        <w:rPr>
          <w:rFonts w:cs="Times New Roman"/>
          <w:b/>
          <w:bCs/>
          <w:color w:val="000000"/>
          <w:lang w:eastAsia="sk-SK"/>
        </w:rPr>
        <w:t xml:space="preserve">účtovné prípady, ktoré sa pravidelne ročne opakujú. </w:t>
      </w: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color w:val="000000"/>
          <w:lang w:eastAsia="sk-SK"/>
        </w:rPr>
      </w:pPr>
      <w:r>
        <w:rPr>
          <w:rFonts w:cs="Times New Roman"/>
          <w:color w:val="000000"/>
          <w:lang w:eastAsia="sk-SK"/>
        </w:rPr>
        <w:t>K iným ďalším zmenám v metódach a postupoch účtovania nedošlo.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79"/>
        <w:gridCol w:w="3053"/>
        <w:gridCol w:w="33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79" w:type="dxa"/>
          </w:tcPr>
          <w:p>
            <w:pPr>
              <w:pStyle w:val="6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Druh zmeny účtovnej zásady alebo účtovnej metódy</w:t>
            </w:r>
          </w:p>
        </w:tc>
        <w:tc>
          <w:tcPr>
            <w:tcW w:w="3053" w:type="dxa"/>
          </w:tcPr>
          <w:p>
            <w:pPr>
              <w:pStyle w:val="6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Dôvod </w:t>
            </w:r>
          </w:p>
        </w:tc>
        <w:tc>
          <w:tcPr>
            <w:tcW w:w="3307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Hodnota vplyvu na príslušnú zložku majetku, záväzkov, vlastného imania a výsledku hospodárenia účtovnej jednotky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79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Spoločnosť neúčtovala na účte čas.rozlíšenia pravidelne sa opakujúce platby 381 – NBO</w:t>
            </w:r>
          </w:p>
        </w:tc>
        <w:tc>
          <w:tcPr>
            <w:tcW w:w="3053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Mikro účtovná jednotka</w:t>
            </w:r>
          </w:p>
        </w:tc>
        <w:tc>
          <w:tcPr>
            <w:tcW w:w="3307" w:type="dxa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hint="default" w:cs="Times New Roman"/>
                <w:color w:val="000000"/>
                <w:lang w:val="en-US" w:eastAsia="sk-SK"/>
              </w:rPr>
            </w:pPr>
            <w:r>
              <w:rPr>
                <w:rFonts w:hint="default" w:cs="Times New Roman"/>
                <w:color w:val="000000"/>
                <w:lang w:val="en-US" w:eastAsia="sk-SK"/>
              </w:rPr>
              <w:t>0,00</w:t>
            </w:r>
            <w:r>
              <w:rPr>
                <w:rFonts w:cs="Times New Roman"/>
                <w:color w:val="000000"/>
                <w:lang w:eastAsia="sk-SK"/>
              </w:rPr>
              <w:t xml:space="preserve"> Eur zaúčtované v nákladoch roku 202</w:t>
            </w:r>
            <w:r>
              <w:rPr>
                <w:rFonts w:hint="default" w:cs="Times New Roman"/>
                <w:color w:val="000000"/>
                <w:lang w:val="en-US" w:eastAsia="sk-SK"/>
              </w:rPr>
              <w:t>3</w:t>
            </w:r>
          </w:p>
        </w:tc>
      </w:tr>
    </w:tbl>
    <w:p>
      <w:pPr>
        <w:pStyle w:val="6"/>
        <w:tabs>
          <w:tab w:val="left" w:pos="808"/>
        </w:tabs>
        <w:ind w:left="0" w:firstLine="0"/>
        <w:jc w:val="both"/>
        <w:rPr>
          <w:rFonts w:ascii="Calibri" w:hAnsi="Calibri" w:cs="Times New Roman"/>
          <w:color w:val="000000"/>
          <w:lang w:eastAsia="sk-SK"/>
        </w:rPr>
      </w:pP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>
        <w:rPr>
          <w:rFonts w:cs="Times New Roman"/>
          <w:b/>
          <w:spacing w:val="-5"/>
        </w:rPr>
        <w:t xml:space="preserve">5. </w:t>
      </w: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 dotá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u w:val="single"/>
        </w:rPr>
        <w:t>i</w:t>
      </w:r>
      <w:r>
        <w:rPr>
          <w:rFonts w:cs="Times New Roman"/>
          <w:b/>
          <w:spacing w:val="1"/>
          <w:u w:val="single"/>
        </w:rPr>
        <w:t>á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u w:val="single"/>
        </w:rPr>
        <w:t>h</w:t>
      </w:r>
      <w:r>
        <w:rPr>
          <w:rFonts w:cs="Times New Roman"/>
          <w:b/>
        </w:rPr>
        <w:t xml:space="preserve"> a</w:t>
      </w:r>
      <w:r>
        <w:rPr>
          <w:rFonts w:cs="Times New Roman"/>
          <w:b/>
          <w:spacing w:val="2"/>
        </w:rPr>
        <w:t xml:space="preserve"> </w:t>
      </w:r>
      <w:r>
        <w:rPr>
          <w:rFonts w:cs="Times New Roman"/>
          <w:b/>
        </w:rPr>
        <w:t>ich o</w:t>
      </w:r>
      <w:r>
        <w:rPr>
          <w:rFonts w:cs="Times New Roman"/>
          <w:b/>
          <w:spacing w:val="-2"/>
        </w:rPr>
        <w:t>c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ňov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n</w:t>
      </w:r>
      <w:r>
        <w:rPr>
          <w:rFonts w:cs="Times New Roman"/>
          <w:b/>
          <w:spacing w:val="2"/>
        </w:rPr>
        <w:t>i</w:t>
      </w:r>
      <w:r>
        <w:rPr>
          <w:rFonts w:cs="Times New Roman"/>
          <w:b/>
        </w:rPr>
        <w:t>e</w:t>
      </w:r>
      <w:r>
        <w:rPr>
          <w:rFonts w:cs="Times New Roman"/>
          <w:b/>
          <w:spacing w:val="59"/>
        </w:rPr>
        <w:t xml:space="preserve"> </w:t>
      </w:r>
      <w:r>
        <w:rPr>
          <w:rFonts w:cs="Times New Roman"/>
          <w:b/>
        </w:rPr>
        <w:t>v ú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>tov</w:t>
      </w:r>
      <w:r>
        <w:rPr>
          <w:rFonts w:cs="Times New Roman"/>
          <w:b/>
          <w:spacing w:val="2"/>
        </w:rPr>
        <w:t>n</w:t>
      </w:r>
      <w:r>
        <w:rPr>
          <w:rFonts w:cs="Times New Roman"/>
          <w:b/>
        </w:rPr>
        <w:t>íctv</w:t>
      </w:r>
      <w:r>
        <w:rPr>
          <w:rFonts w:cs="Times New Roman"/>
          <w:b/>
          <w:spacing w:val="-1"/>
        </w:rPr>
        <w:t>e:</w:t>
      </w: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spacing w:val="-1"/>
        </w:rPr>
      </w:pPr>
      <w:r>
        <w:rPr>
          <w:rFonts w:cs="Times New Roman"/>
          <w:spacing w:val="-1"/>
        </w:rPr>
        <w:t>O nároku na dotácie zo štátneho rozpočtu sa účtuje ak je isté, že na základe splnených podmienok na poskytnutie dotácie sa spoločnosti daná dotácia poskytne.</w:t>
      </w: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>
        <w:rPr>
          <w:rFonts w:cs="Times New Roman"/>
          <w:b/>
          <w:spacing w:val="-1"/>
        </w:rPr>
        <w:t>Spoločnosť obdržala v účtovnom období dotácie. Dotáciu z Ministerstva dopravy Slovenskej republiky na základe Zmluvy o poskytnutí príspevku za ubytovanie odídencom a dotáciu z Ministerstva hospodárstva Slovenskej republiky na energie.</w:t>
      </w: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</w:rPr>
      </w:pPr>
    </w:p>
    <w:p>
      <w:pPr>
        <w:pStyle w:val="6"/>
        <w:tabs>
          <w:tab w:val="left" w:pos="808"/>
        </w:tabs>
        <w:ind w:left="0" w:firstLine="0"/>
        <w:jc w:val="both"/>
        <w:rPr>
          <w:rFonts w:cs="Times New Roman"/>
          <w:b/>
          <w:spacing w:val="33"/>
        </w:rPr>
      </w:pPr>
      <w:r>
        <w:rPr>
          <w:rFonts w:cs="Times New Roman"/>
          <w:b/>
        </w:rPr>
        <w:t xml:space="preserve">6. </w:t>
      </w: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51"/>
          <w:u w:val="single"/>
        </w:rPr>
        <w:t xml:space="preserve"> </w:t>
      </w:r>
      <w:r>
        <w:rPr>
          <w:rFonts w:cs="Times New Roman"/>
          <w:b/>
          <w:u w:val="single"/>
        </w:rPr>
        <w:t>o</w:t>
      </w:r>
      <w:r>
        <w:rPr>
          <w:rFonts w:cs="Times New Roman"/>
          <w:b/>
          <w:spacing w:val="53"/>
          <w:u w:val="single"/>
        </w:rPr>
        <w:t xml:space="preserve"> </w:t>
      </w:r>
      <w:r>
        <w:rPr>
          <w:rFonts w:cs="Times New Roman"/>
          <w:b/>
          <w:u w:val="single"/>
        </w:rPr>
        <w:t>ú</w:t>
      </w:r>
      <w:r>
        <w:rPr>
          <w:rFonts w:cs="Times New Roman"/>
          <w:b/>
          <w:spacing w:val="-1"/>
          <w:u w:val="single"/>
        </w:rPr>
        <w:t>č</w:t>
      </w:r>
      <w:r>
        <w:rPr>
          <w:rFonts w:cs="Times New Roman"/>
          <w:b/>
          <w:u w:val="single"/>
        </w:rPr>
        <w:t>tovaní</w:t>
      </w:r>
      <w:r>
        <w:rPr>
          <w:rFonts w:cs="Times New Roman"/>
          <w:b/>
          <w:spacing w:val="52"/>
          <w:u w:val="single"/>
        </w:rPr>
        <w:t xml:space="preserve"> </w:t>
      </w:r>
      <w:r>
        <w:rPr>
          <w:rFonts w:cs="Times New Roman"/>
          <w:b/>
          <w:u w:val="single"/>
        </w:rPr>
        <w:t>v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spacing w:val="1"/>
          <w:u w:val="single"/>
        </w:rPr>
        <w:t>z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spacing w:val="-1"/>
          <w:u w:val="single"/>
        </w:rPr>
        <w:t>a</w:t>
      </w:r>
      <w:r>
        <w:rPr>
          <w:rFonts w:cs="Times New Roman"/>
          <w:b/>
          <w:u w:val="single"/>
        </w:rPr>
        <w:t>m</w:t>
      </w:r>
      <w:r>
        <w:rPr>
          <w:rFonts w:cs="Times New Roman"/>
          <w:b/>
          <w:spacing w:val="5"/>
          <w:u w:val="single"/>
        </w:rPr>
        <w:t>n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u w:val="single"/>
        </w:rPr>
        <w:t>h</w:t>
      </w:r>
      <w:r>
        <w:rPr>
          <w:rFonts w:cs="Times New Roman"/>
          <w:b/>
          <w:spacing w:val="52"/>
          <w:u w:val="single"/>
        </w:rPr>
        <w:t xml:space="preserve"> </w:t>
      </w:r>
      <w:r>
        <w:rPr>
          <w:rFonts w:cs="Times New Roman"/>
          <w:b/>
          <w:u w:val="single"/>
        </w:rPr>
        <w:t>opr</w:t>
      </w:r>
      <w:r>
        <w:rPr>
          <w:rFonts w:cs="Times New Roman"/>
          <w:b/>
          <w:spacing w:val="-2"/>
          <w:u w:val="single"/>
        </w:rPr>
        <w:t>á</w:t>
      </w:r>
      <w:r>
        <w:rPr>
          <w:rFonts w:cs="Times New Roman"/>
          <w:b/>
          <w:u w:val="single"/>
        </w:rPr>
        <w:t>v</w:t>
      </w:r>
      <w:r>
        <w:rPr>
          <w:rFonts w:cs="Times New Roman"/>
          <w:b/>
          <w:spacing w:val="52"/>
          <w:u w:val="single"/>
        </w:rPr>
        <w:t xml:space="preserve"> 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spacing w:val="4"/>
          <w:u w:val="single"/>
        </w:rPr>
        <w:t>h</w:t>
      </w:r>
      <w:r>
        <w:rPr>
          <w:rFonts w:cs="Times New Roman"/>
          <w:b/>
          <w:spacing w:val="-5"/>
          <w:u w:val="single"/>
        </w:rPr>
        <w:t>ý</w:t>
      </w:r>
      <w:r>
        <w:rPr>
          <w:rFonts w:cs="Times New Roman"/>
          <w:b/>
          <w:u w:val="single"/>
        </w:rPr>
        <w:t>b</w:t>
      </w:r>
      <w:r>
        <w:rPr>
          <w:rFonts w:cs="Times New Roman"/>
          <w:b/>
          <w:spacing w:val="54"/>
        </w:rPr>
        <w:t xml:space="preserve"> </w:t>
      </w:r>
      <w:r>
        <w:rPr>
          <w:rFonts w:cs="Times New Roman"/>
          <w:b/>
        </w:rPr>
        <w:t>minu</w:t>
      </w:r>
      <w:r>
        <w:rPr>
          <w:rFonts w:cs="Times New Roman"/>
          <w:b/>
          <w:spacing w:val="2"/>
        </w:rPr>
        <w:t>l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52"/>
        </w:rPr>
        <w:t xml:space="preserve"> </w:t>
      </w:r>
      <w:r>
        <w:rPr>
          <w:rFonts w:cs="Times New Roman"/>
          <w:b/>
        </w:rPr>
        <w:t>ú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>tov</w:t>
      </w:r>
      <w:r>
        <w:rPr>
          <w:rFonts w:cs="Times New Roman"/>
          <w:b/>
          <w:spacing w:val="5"/>
        </w:rPr>
        <w:t>n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-1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52"/>
        </w:rPr>
        <w:t xml:space="preserve"> </w:t>
      </w:r>
      <w:r>
        <w:rPr>
          <w:rFonts w:cs="Times New Roman"/>
          <w:b/>
        </w:rPr>
        <w:t>o</w:t>
      </w:r>
      <w:r>
        <w:rPr>
          <w:rFonts w:cs="Times New Roman"/>
          <w:b/>
          <w:spacing w:val="2"/>
        </w:rPr>
        <w:t>b</w:t>
      </w:r>
      <w:r>
        <w:rPr>
          <w:rFonts w:cs="Times New Roman"/>
          <w:b/>
        </w:rPr>
        <w:t>dobí</w:t>
      </w:r>
      <w:r>
        <w:rPr>
          <w:rFonts w:cs="Times New Roman"/>
          <w:b/>
          <w:spacing w:val="53"/>
        </w:rPr>
        <w:t xml:space="preserve"> </w:t>
      </w:r>
      <w:r>
        <w:rPr>
          <w:rFonts w:cs="Times New Roman"/>
          <w:b/>
        </w:rPr>
        <w:t>v</w:t>
      </w:r>
      <w:r>
        <w:rPr>
          <w:rFonts w:cs="Times New Roman"/>
          <w:b/>
          <w:spacing w:val="5"/>
        </w:rPr>
        <w:t xml:space="preserve"> </w:t>
      </w:r>
      <w:r>
        <w:rPr>
          <w:rFonts w:cs="Times New Roman"/>
          <w:b/>
        </w:rPr>
        <w:t>b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  <w:spacing w:val="1"/>
        </w:rPr>
        <w:t>ž</w:t>
      </w:r>
      <w:r>
        <w:rPr>
          <w:rFonts w:cs="Times New Roman"/>
          <w:b/>
        </w:rPr>
        <w:t>nom ú</w:t>
      </w:r>
      <w:r>
        <w:rPr>
          <w:rFonts w:cs="Times New Roman"/>
          <w:b/>
          <w:spacing w:val="-1"/>
        </w:rPr>
        <w:t>č</w:t>
      </w:r>
      <w:r>
        <w:rPr>
          <w:rFonts w:cs="Times New Roman"/>
          <w:b/>
        </w:rPr>
        <w:t>tovnom</w:t>
      </w:r>
      <w:r>
        <w:rPr>
          <w:rFonts w:cs="Times New Roman"/>
          <w:b/>
          <w:spacing w:val="39"/>
        </w:rPr>
        <w:t xml:space="preserve"> </w:t>
      </w:r>
      <w:r>
        <w:rPr>
          <w:rFonts w:cs="Times New Roman"/>
          <w:b/>
        </w:rPr>
        <w:t>období</w:t>
      </w:r>
      <w:r>
        <w:rPr>
          <w:rFonts w:cs="Times New Roman"/>
          <w:b/>
          <w:spacing w:val="38"/>
        </w:rPr>
        <w:t xml:space="preserve"> </w:t>
      </w:r>
      <w:r>
        <w:rPr>
          <w:rFonts w:cs="Times New Roman"/>
          <w:b/>
        </w:rPr>
        <w:t>s</w:t>
      </w:r>
      <w:r>
        <w:rPr>
          <w:rFonts w:cs="Times New Roman"/>
          <w:b/>
          <w:spacing w:val="1"/>
        </w:rPr>
        <w:t xml:space="preserve"> </w:t>
      </w:r>
      <w:r>
        <w:rPr>
          <w:rFonts w:cs="Times New Roman"/>
          <w:b/>
        </w:rPr>
        <w:t>uv</w:t>
      </w:r>
      <w:r>
        <w:rPr>
          <w:rFonts w:cs="Times New Roman"/>
          <w:b/>
          <w:spacing w:val="1"/>
        </w:rPr>
        <w:t>e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ním</w:t>
      </w:r>
      <w:r>
        <w:rPr>
          <w:rFonts w:cs="Times New Roman"/>
          <w:b/>
          <w:spacing w:val="17"/>
        </w:rPr>
        <w:t xml:space="preserve"> </w:t>
      </w:r>
      <w:r>
        <w:rPr>
          <w:rFonts w:cs="Times New Roman"/>
          <w:b/>
        </w:rPr>
        <w:t>vp</w:t>
      </w:r>
      <w:r>
        <w:rPr>
          <w:rFonts w:cs="Times New Roman"/>
          <w:b/>
          <w:spacing w:val="5"/>
        </w:rPr>
        <w:t>l</w:t>
      </w:r>
      <w:r>
        <w:rPr>
          <w:rFonts w:cs="Times New Roman"/>
          <w:b/>
          <w:spacing w:val="-5"/>
        </w:rPr>
        <w:t>y</w:t>
      </w:r>
      <w:r>
        <w:rPr>
          <w:rFonts w:cs="Times New Roman"/>
          <w:b/>
        </w:rPr>
        <w:t>vu</w:t>
      </w:r>
      <w:r>
        <w:rPr>
          <w:rFonts w:cs="Times New Roman"/>
          <w:b/>
          <w:spacing w:val="38"/>
        </w:rPr>
        <w:t xml:space="preserve"> </w:t>
      </w:r>
      <w:r>
        <w:rPr>
          <w:rFonts w:cs="Times New Roman"/>
          <w:b/>
        </w:rPr>
        <w:t>na</w:t>
      </w:r>
      <w:r>
        <w:rPr>
          <w:rFonts w:cs="Times New Roman"/>
          <w:b/>
          <w:spacing w:val="39"/>
        </w:rPr>
        <w:t xml:space="preserve"> </w:t>
      </w:r>
      <w:r>
        <w:rPr>
          <w:rFonts w:cs="Times New Roman"/>
          <w:b/>
        </w:rPr>
        <w:t>n</w:t>
      </w:r>
      <w:r>
        <w:rPr>
          <w:rFonts w:cs="Times New Roman"/>
          <w:b/>
          <w:spacing w:val="1"/>
        </w:rPr>
        <w:t>er</w:t>
      </w:r>
      <w:r>
        <w:rPr>
          <w:rFonts w:cs="Times New Roman"/>
          <w:b/>
        </w:rPr>
        <w:t>o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le</w:t>
      </w:r>
      <w:r>
        <w:rPr>
          <w:rFonts w:cs="Times New Roman"/>
          <w:b/>
          <w:spacing w:val="1"/>
        </w:rPr>
        <w:t>n</w:t>
      </w:r>
      <w:r>
        <w:rPr>
          <w:rFonts w:cs="Times New Roman"/>
          <w:b/>
        </w:rPr>
        <w:t>ý</w:t>
      </w:r>
      <w:r>
        <w:rPr>
          <w:rFonts w:cs="Times New Roman"/>
          <w:b/>
          <w:spacing w:val="33"/>
        </w:rPr>
        <w:t xml:space="preserve"> </w:t>
      </w:r>
      <w:r>
        <w:rPr>
          <w:rFonts w:cs="Times New Roman"/>
          <w:b/>
          <w:spacing w:val="1"/>
        </w:rPr>
        <w:t>z</w:t>
      </w:r>
      <w:r>
        <w:rPr>
          <w:rFonts w:cs="Times New Roman"/>
          <w:b/>
        </w:rPr>
        <w:t>isk</w:t>
      </w:r>
      <w:r>
        <w:rPr>
          <w:rFonts w:cs="Times New Roman"/>
          <w:b/>
          <w:spacing w:val="38"/>
        </w:rPr>
        <w:t xml:space="preserve"> </w:t>
      </w:r>
      <w:r>
        <w:rPr>
          <w:rFonts w:cs="Times New Roman"/>
          <w:b/>
        </w:rPr>
        <w:t>minu</w:t>
      </w:r>
      <w:r>
        <w:rPr>
          <w:rFonts w:cs="Times New Roman"/>
          <w:b/>
          <w:spacing w:val="2"/>
        </w:rPr>
        <w:t>l</w:t>
      </w:r>
      <w:r>
        <w:rPr>
          <w:rFonts w:cs="Times New Roman"/>
          <w:b/>
          <w:spacing w:val="-5"/>
        </w:rPr>
        <w:t>ý</w:t>
      </w:r>
      <w:r>
        <w:rPr>
          <w:rFonts w:cs="Times New Roman"/>
          <w:b/>
          <w:spacing w:val="3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38"/>
        </w:rPr>
        <w:t xml:space="preserve"> </w:t>
      </w:r>
      <w:r>
        <w:rPr>
          <w:rFonts w:cs="Times New Roman"/>
          <w:b/>
        </w:rPr>
        <w:t>rokov</w:t>
      </w:r>
      <w:r>
        <w:rPr>
          <w:rFonts w:cs="Times New Roman"/>
          <w:b/>
          <w:spacing w:val="39"/>
        </w:rPr>
        <w:t xml:space="preserve"> 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lebo n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uhr</w:t>
      </w:r>
      <w:r>
        <w:rPr>
          <w:rFonts w:cs="Times New Roman"/>
          <w:b/>
          <w:spacing w:val="-2"/>
        </w:rPr>
        <w:t>a</w:t>
      </w:r>
      <w:r>
        <w:rPr>
          <w:rFonts w:cs="Times New Roman"/>
          <w:b/>
        </w:rPr>
        <w:t>d</w:t>
      </w:r>
      <w:r>
        <w:rPr>
          <w:rFonts w:cs="Times New Roman"/>
          <w:b/>
          <w:spacing w:val="-1"/>
        </w:rPr>
        <w:t>e</w:t>
      </w:r>
      <w:r>
        <w:rPr>
          <w:rFonts w:cs="Times New Roman"/>
          <w:b/>
        </w:rPr>
        <w:t>nú</w:t>
      </w:r>
      <w:r>
        <w:rPr>
          <w:rFonts w:cs="Times New Roman"/>
          <w:b/>
          <w:spacing w:val="35"/>
        </w:rPr>
        <w:t xml:space="preserve"> </w:t>
      </w:r>
      <w:r>
        <w:rPr>
          <w:rFonts w:cs="Times New Roman"/>
          <w:b/>
        </w:rPr>
        <w:t>str</w:t>
      </w:r>
      <w:r>
        <w:rPr>
          <w:rFonts w:cs="Times New Roman"/>
          <w:b/>
          <w:spacing w:val="-1"/>
        </w:rPr>
        <w:t>a</w:t>
      </w:r>
      <w:r>
        <w:rPr>
          <w:rFonts w:cs="Times New Roman"/>
          <w:b/>
        </w:rPr>
        <w:t>tu</w:t>
      </w:r>
      <w:r>
        <w:rPr>
          <w:rFonts w:cs="Times New Roman"/>
          <w:b/>
          <w:spacing w:val="33"/>
        </w:rPr>
        <w:t xml:space="preserve"> </w:t>
      </w:r>
      <w:r>
        <w:rPr>
          <w:rFonts w:cs="Times New Roman"/>
          <w:b/>
        </w:rPr>
        <w:t>minul</w:t>
      </w:r>
      <w:r>
        <w:rPr>
          <w:rFonts w:cs="Times New Roman"/>
          <w:b/>
          <w:spacing w:val="-3"/>
        </w:rPr>
        <w:t>ý</w:t>
      </w:r>
      <w:r>
        <w:rPr>
          <w:rFonts w:cs="Times New Roman"/>
          <w:b/>
          <w:spacing w:val="1"/>
        </w:rPr>
        <w:t>c</w:t>
      </w:r>
      <w:r>
        <w:rPr>
          <w:rFonts w:cs="Times New Roman"/>
          <w:b/>
        </w:rPr>
        <w:t>h</w:t>
      </w:r>
      <w:r>
        <w:rPr>
          <w:rFonts w:cs="Times New Roman"/>
          <w:b/>
          <w:spacing w:val="35"/>
        </w:rPr>
        <w:t xml:space="preserve"> </w:t>
      </w:r>
      <w:r>
        <w:rPr>
          <w:rFonts w:cs="Times New Roman"/>
          <w:b/>
        </w:rPr>
        <w:t>roko</w:t>
      </w:r>
      <w:r>
        <w:rPr>
          <w:rFonts w:cs="Times New Roman"/>
          <w:b/>
          <w:spacing w:val="-1"/>
        </w:rPr>
        <w:t>v</w:t>
      </w:r>
      <w:r>
        <w:rPr>
          <w:rFonts w:cs="Times New Roman"/>
          <w:b/>
        </w:rPr>
        <w:t>;</w:t>
      </w:r>
      <w:r>
        <w:rPr>
          <w:rFonts w:cs="Times New Roman"/>
          <w:b/>
          <w:spacing w:val="33"/>
        </w:rPr>
        <w:t xml:space="preserve"> </w:t>
      </w:r>
    </w:p>
    <w:p>
      <w:pPr>
        <w:autoSpaceDE w:val="0"/>
        <w:autoSpaceDN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zisťovaní základu dane z príjmov sa uplatňuje hlavne zásada rešpektovania vecnej a časovej súvislosti zdaniteľných príjmov a výdavkov v príslušnom zdaňovacom období. V nadväznosti na dodržanie tejto podmienky sa v zmysle § 17 ods. 15 zákona o dani z príjmov opravy chýb minulých účtovných období zahrnujú do základu dane toho zdaňovacieho obdobia, s ktorým vecne a časovo súvisia. </w:t>
      </w:r>
      <w:r>
        <w:rPr>
          <w:rFonts w:ascii="Times New Roman" w:hAnsi="Times New Roman" w:cs="Times New Roman"/>
          <w:b/>
          <w:sz w:val="24"/>
          <w:szCs w:val="24"/>
        </w:rPr>
        <w:t>Spoločnosť v bežnom účtovnom období nevykonala významné opravy chýb minulých účtovných období.</w:t>
      </w:r>
    </w:p>
    <w:p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pStyle w:val="2"/>
        <w:ind w:right="157"/>
        <w:jc w:val="center"/>
        <w:rPr>
          <w:rFonts w:cs="Times New Roman"/>
          <w:b w:val="0"/>
          <w:bCs w:val="0"/>
        </w:rPr>
      </w:pPr>
      <w:r>
        <w:rPr>
          <w:rFonts w:cs="Times New Roman"/>
        </w:rPr>
        <w:t>Článok III</w:t>
      </w:r>
    </w:p>
    <w:p>
      <w:pPr>
        <w:ind w:right="157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In</w:t>
      </w:r>
      <w:r>
        <w:rPr>
          <w:rFonts w:ascii="Times New Roman" w:hAnsi="Times New Roman" w:eastAsia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o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 w:eastAsia="Times New Roman" w:cs="Times New Roman"/>
          <w:b/>
          <w:bCs/>
          <w:spacing w:val="-4"/>
          <w:sz w:val="24"/>
          <w:szCs w:val="24"/>
        </w:rPr>
        <w:t>m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á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ie, ktoré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vysv</w:t>
      </w:r>
      <w:r>
        <w:rPr>
          <w:rFonts w:ascii="Times New Roman" w:hAnsi="Times New Roman" w:eastAsia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tľujú a</w:t>
      </w:r>
      <w:r>
        <w:rPr>
          <w:rFonts w:ascii="Times New Roman" w:hAnsi="Times New Roman" w:eastAsia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dop</w:t>
      </w:r>
      <w:r>
        <w:rPr>
          <w:rFonts w:ascii="Times New Roman" w:hAnsi="Times New Roman" w:eastAsia="Times New Roman" w:cs="Times New Roman"/>
          <w:b/>
          <w:bCs/>
          <w:spacing w:val="-2"/>
          <w:sz w:val="24"/>
          <w:szCs w:val="24"/>
        </w:rPr>
        <w:t>ĺ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ňa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>j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ú súv</w:t>
      </w:r>
      <w:r>
        <w:rPr>
          <w:rFonts w:ascii="Times New Roman" w:hAnsi="Times New Roman" w:eastAsia="Times New Roman" w:cs="Times New Roman"/>
          <w:b/>
          <w:bCs/>
          <w:spacing w:val="-3"/>
          <w:sz w:val="24"/>
          <w:szCs w:val="24"/>
        </w:rPr>
        <w:t>a</w:t>
      </w:r>
      <w:r>
        <w:rPr>
          <w:rFonts w:ascii="Times New Roman" w:hAnsi="Times New Roman" w:eastAsia="Times New Roman" w:cs="Times New Roman"/>
          <w:b/>
          <w:bCs/>
          <w:spacing w:val="-2"/>
          <w:sz w:val="24"/>
          <w:szCs w:val="24"/>
        </w:rPr>
        <w:t>h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u a</w:t>
      </w:r>
      <w:r>
        <w:rPr>
          <w:rFonts w:ascii="Times New Roman" w:hAnsi="Times New Roman" w:eastAsia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výkaz</w:t>
      </w:r>
      <w:r>
        <w:rPr>
          <w:rFonts w:ascii="Times New Roman" w:hAnsi="Times New Roman" w:eastAsia="Times New Roman" w:cs="Times New Roman"/>
          <w:b/>
          <w:bCs/>
          <w:spacing w:val="-1"/>
          <w:sz w:val="24"/>
          <w:szCs w:val="24"/>
        </w:rPr>
        <w:t xml:space="preserve"> z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is</w:t>
      </w:r>
      <w:r>
        <w:rPr>
          <w:rFonts w:ascii="Times New Roman" w:hAnsi="Times New Roman" w:eastAsia="Times New Roman" w:cs="Times New Roman"/>
          <w:b/>
          <w:bCs/>
          <w:spacing w:val="1"/>
          <w:sz w:val="24"/>
          <w:szCs w:val="24"/>
        </w:rPr>
        <w:t>k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ov a</w:t>
      </w:r>
      <w:r>
        <w:rPr>
          <w:rFonts w:ascii="Times New Roman" w:hAnsi="Times New Roman" w:eastAsia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st</w:t>
      </w:r>
      <w:r>
        <w:rPr>
          <w:rFonts w:ascii="Times New Roman" w:hAnsi="Times New Roman" w:eastAsia="Times New Roman" w:cs="Times New Roman"/>
          <w:b/>
          <w:bCs/>
          <w:spacing w:val="-2"/>
          <w:sz w:val="24"/>
          <w:szCs w:val="24"/>
        </w:rPr>
        <w:t>r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át</w:t>
      </w:r>
    </w:p>
    <w:p>
      <w:pPr>
        <w:pStyle w:val="6"/>
        <w:numPr>
          <w:ilvl w:val="0"/>
          <w:numId w:val="2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 </w:t>
      </w:r>
      <w:r>
        <w:rPr>
          <w:rFonts w:cs="Times New Roman"/>
          <w:b/>
          <w:spacing w:val="1"/>
          <w:u w:val="single"/>
        </w:rPr>
        <w:t>sume a dôvodoch vzniku jednotlivých položiek nákladov alebo výnosov, ktoré majú výnimočný rozsah alebo výskyt</w:t>
      </w:r>
      <w:r>
        <w:rPr>
          <w:rFonts w:cs="Times New Roman"/>
          <w:b/>
          <w:u w:val="single"/>
        </w:rPr>
        <w:t>:</w:t>
      </w:r>
    </w:p>
    <w:p>
      <w:pPr>
        <w:pStyle w:val="6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>Spoločnosť o takýchto udalostiach počas účtovného obdobia neúčtovala.</w:t>
      </w: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p>
      <w:pPr>
        <w:pStyle w:val="6"/>
        <w:numPr>
          <w:ilvl w:val="0"/>
          <w:numId w:val="2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Informácia o záväzkoch</w:t>
      </w:r>
    </w:p>
    <w:p>
      <w:pPr>
        <w:pStyle w:val="6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 xml:space="preserve">2.a  </w:t>
      </w:r>
      <w:r>
        <w:rPr>
          <w:rFonts w:cs="Times New Roman"/>
          <w:b/>
          <w:spacing w:val="-4"/>
          <w:u w:val="single"/>
        </w:rPr>
        <w:t xml:space="preserve">Informácie o záväzkoch </w:t>
      </w:r>
    </w:p>
    <w:p>
      <w:pPr>
        <w:pStyle w:val="6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 xml:space="preserve">Záväzky pri ich vzniku sa oceňujú menovitou hodnotou. </w:t>
      </w:r>
    </w:p>
    <w:p>
      <w:pPr>
        <w:pStyle w:val="6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 xml:space="preserve">Záväzky pri ich prevzatí sa oceňujú obstarávacou cenou. </w:t>
      </w:r>
    </w:p>
    <w:p>
      <w:pPr>
        <w:pStyle w:val="6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 xml:space="preserve">Ak sa pri inventarizácií zistí, že suma záväzkov je iná ako ich výška v účtovníctve, uvedú sa záväzky </w:t>
      </w:r>
    </w:p>
    <w:p>
      <w:pPr>
        <w:pStyle w:val="6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>v účtovníctve a v účtovnej závierke v tomto zistenom ocenení.</w:t>
      </w: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tbl>
      <w:tblPr>
        <w:tblStyle w:val="10"/>
        <w:tblW w:w="0" w:type="auto"/>
        <w:tblInd w:w="1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89"/>
        <w:gridCol w:w="2535"/>
        <w:gridCol w:w="26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89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89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Dlhodobé záväzky spolu</w:t>
            </w:r>
          </w:p>
        </w:tc>
        <w:tc>
          <w:tcPr>
            <w:tcW w:w="2535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89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Záväzky so zostatkovou dobou splatnosti nad päť rokov</w:t>
            </w:r>
          </w:p>
        </w:tc>
        <w:tc>
          <w:tcPr>
            <w:tcW w:w="2535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89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Záväzky so zostatkovou dobou splatnosti jeden rok až päť rokov</w:t>
            </w:r>
          </w:p>
        </w:tc>
        <w:tc>
          <w:tcPr>
            <w:tcW w:w="2535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</w:tbl>
    <w:p>
      <w:pPr>
        <w:pStyle w:val="6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10"/>
        <w:tblW w:w="0" w:type="auto"/>
        <w:tblInd w:w="1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89"/>
        <w:gridCol w:w="2535"/>
        <w:gridCol w:w="26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89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89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Krátkodobé záväzky spolu</w:t>
            </w:r>
          </w:p>
        </w:tc>
        <w:tc>
          <w:tcPr>
            <w:tcW w:w="2535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bookmarkStart w:id="0" w:name="_GoBack"/>
            <w:bookmarkEnd w:id="0"/>
          </w:p>
        </w:tc>
        <w:tc>
          <w:tcPr>
            <w:tcW w:w="2612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89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Záväzky so zostatkovou dobou splatnosti do jedného roka vrátane</w:t>
            </w:r>
          </w:p>
        </w:tc>
        <w:tc>
          <w:tcPr>
            <w:tcW w:w="2535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89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Záväzky po lehote splatnosti</w:t>
            </w:r>
          </w:p>
        </w:tc>
        <w:tc>
          <w:tcPr>
            <w:tcW w:w="2535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</w:tbl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>
      <w:pPr>
        <w:pStyle w:val="6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 xml:space="preserve">2.b  </w:t>
      </w:r>
      <w:r>
        <w:rPr>
          <w:rFonts w:cs="Times New Roman"/>
          <w:b/>
          <w:spacing w:val="-4"/>
          <w:u w:val="single"/>
        </w:rPr>
        <w:t>Hodnota záväzkov zabezpečená záložným právom:</w:t>
      </w: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</w:rPr>
      </w:pPr>
      <w:r>
        <w:rPr>
          <w:rFonts w:cs="Times New Roman"/>
        </w:rPr>
        <w:t>Spoločnosť nemá záväzky zabezpečené záložným právom alebo inou formou zabezpečenia.</w:t>
      </w: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>
        <w:rPr>
          <w:rFonts w:cs="Times New Roman"/>
          <w:b/>
        </w:rPr>
        <w:t>Spoločnosť nečerpá bankový úver.</w:t>
      </w: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>
      <w:pPr>
        <w:pStyle w:val="6"/>
        <w:numPr>
          <w:ilvl w:val="0"/>
          <w:numId w:val="2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 </w:t>
      </w:r>
      <w:r>
        <w:rPr>
          <w:rFonts w:cs="Times New Roman"/>
          <w:b/>
          <w:spacing w:val="1"/>
          <w:u w:val="single"/>
        </w:rPr>
        <w:t>vlastných akciách</w:t>
      </w: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</w:rPr>
      </w:pPr>
      <w:r>
        <w:rPr>
          <w:rFonts w:cs="Times New Roman"/>
        </w:rPr>
        <w:t>Spoločnosť neúčtuje o vlastných akciách.</w:t>
      </w: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>
        <w:rPr>
          <w:rFonts w:cs="Times New Roman"/>
          <w:b/>
        </w:rPr>
        <w:t xml:space="preserve">4. </w:t>
      </w: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 o</w:t>
      </w:r>
      <w:r>
        <w:rPr>
          <w:rFonts w:cs="Times New Roman"/>
          <w:b/>
          <w:spacing w:val="1"/>
          <w:u w:val="single"/>
        </w:rPr>
        <w:t>r</w:t>
      </w:r>
      <w:r>
        <w:rPr>
          <w:rFonts w:cs="Times New Roman"/>
          <w:b/>
          <w:spacing w:val="-3"/>
          <w:u w:val="single"/>
        </w:rPr>
        <w:t>g</w:t>
      </w:r>
      <w:r>
        <w:rPr>
          <w:rFonts w:cs="Times New Roman"/>
          <w:b/>
          <w:spacing w:val="-1"/>
          <w:u w:val="single"/>
        </w:rPr>
        <w:t>á</w:t>
      </w:r>
      <w:r>
        <w:rPr>
          <w:rFonts w:cs="Times New Roman"/>
          <w:b/>
          <w:u w:val="single"/>
        </w:rPr>
        <w:t>n</w:t>
      </w:r>
      <w:r>
        <w:rPr>
          <w:rFonts w:cs="Times New Roman"/>
          <w:b/>
          <w:spacing w:val="2"/>
          <w:u w:val="single"/>
        </w:rPr>
        <w:t>o</w:t>
      </w:r>
      <w:r>
        <w:rPr>
          <w:rFonts w:cs="Times New Roman"/>
          <w:b/>
          <w:spacing w:val="-1"/>
          <w:u w:val="single"/>
        </w:rPr>
        <w:t>c</w:t>
      </w:r>
      <w:r>
        <w:rPr>
          <w:rFonts w:cs="Times New Roman"/>
          <w:b/>
          <w:u w:val="single"/>
        </w:rPr>
        <w:t xml:space="preserve">h </w:t>
      </w:r>
      <w:r>
        <w:rPr>
          <w:rFonts w:cs="Times New Roman"/>
          <w:b/>
          <w:spacing w:val="2"/>
          <w:u w:val="single"/>
        </w:rPr>
        <w:t>ú</w:t>
      </w:r>
      <w:r>
        <w:rPr>
          <w:rFonts w:cs="Times New Roman"/>
          <w:b/>
          <w:spacing w:val="-1"/>
          <w:u w:val="single"/>
        </w:rPr>
        <w:t>č</w:t>
      </w:r>
      <w:r>
        <w:rPr>
          <w:rFonts w:cs="Times New Roman"/>
          <w:b/>
          <w:u w:val="single"/>
        </w:rPr>
        <w:t>tovnej jednot</w:t>
      </w:r>
      <w:r>
        <w:rPr>
          <w:rFonts w:cs="Times New Roman"/>
          <w:b/>
          <w:spacing w:val="2"/>
          <w:u w:val="single"/>
        </w:rPr>
        <w:t>k</w:t>
      </w:r>
      <w:r>
        <w:rPr>
          <w:rFonts w:cs="Times New Roman"/>
          <w:b/>
          <w:spacing w:val="-5"/>
          <w:u w:val="single"/>
        </w:rPr>
        <w:t>y</w:t>
      </w:r>
      <w:r>
        <w:rPr>
          <w:rFonts w:cs="Times New Roman"/>
          <w:b/>
        </w:rPr>
        <w:t>,</w:t>
      </w:r>
      <w:r>
        <w:rPr>
          <w:rFonts w:cs="Times New Roman"/>
          <w:b/>
          <w:spacing w:val="2"/>
        </w:rPr>
        <w:t xml:space="preserve"> </w:t>
      </w:r>
      <w:r>
        <w:rPr>
          <w:rFonts w:cs="Times New Roman"/>
          <w:b/>
        </w:rPr>
        <w:t>a to:</w:t>
      </w:r>
    </w:p>
    <w:p>
      <w:pPr>
        <w:pStyle w:val="6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10"/>
        <w:tblW w:w="0" w:type="auto"/>
        <w:tblInd w:w="1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0"/>
        <w:gridCol w:w="2977"/>
        <w:gridCol w:w="28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Druh príjmu, výhody</w:t>
            </w:r>
          </w:p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977" w:type="dxa"/>
          </w:tcPr>
          <w:p>
            <w:pPr>
              <w:pStyle w:val="6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>
            <w:pPr>
              <w:pStyle w:val="6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súčasných členom orgánov</w:t>
            </w:r>
          </w:p>
        </w:tc>
        <w:tc>
          <w:tcPr>
            <w:tcW w:w="2881" w:type="dxa"/>
          </w:tcPr>
          <w:p>
            <w:pPr>
              <w:pStyle w:val="6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>
            <w:pPr>
              <w:pStyle w:val="6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bývalých členov orgánov</w:t>
            </w:r>
          </w:p>
          <w:p>
            <w:pPr>
              <w:pStyle w:val="6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>
            <w:pPr>
              <w:pStyle w:val="6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Poskytnuté záruky alebo zabezpečenie</w:t>
            </w:r>
          </w:p>
        </w:tc>
        <w:tc>
          <w:tcPr>
            <w:tcW w:w="2977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Poskytnuté pôžičky (ku dňu ÚZ)</w:t>
            </w:r>
          </w:p>
        </w:tc>
        <w:tc>
          <w:tcPr>
            <w:tcW w:w="2977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spacing w:val="-4"/>
                <w:sz w:val="20"/>
                <w:szCs w:val="20"/>
              </w:rPr>
            </w:pPr>
          </w:p>
        </w:tc>
        <w:tc>
          <w:tcPr>
            <w:tcW w:w="2881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Splatené pôžičky (ku dňu ÚZ)</w:t>
            </w:r>
          </w:p>
        </w:tc>
        <w:tc>
          <w:tcPr>
            <w:tcW w:w="2977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Odpustené alebo odpísané pôžičky</w:t>
            </w:r>
          </w:p>
        </w:tc>
        <w:tc>
          <w:tcPr>
            <w:tcW w:w="2977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Finančné prostriedky a iné plnenie použité na súkromné účely na vyúčtovanie</w:t>
            </w:r>
          </w:p>
        </w:tc>
        <w:tc>
          <w:tcPr>
            <w:tcW w:w="2977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>
            <w:pPr>
              <w:pStyle w:val="6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</w:tbl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</w:p>
    <w:p>
      <w:pPr>
        <w:pStyle w:val="6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 xml:space="preserve">4.a  </w:t>
      </w:r>
      <w:r>
        <w:rPr>
          <w:rFonts w:cs="Times New Roman"/>
          <w:b/>
          <w:spacing w:val="-4"/>
          <w:u w:val="single"/>
        </w:rPr>
        <w:t xml:space="preserve">Hlavné podmienky, na základe ktorých boli záruky alebo iné zabezpečenia poskytnuté </w:t>
      </w:r>
      <w:r>
        <w:rPr>
          <w:rFonts w:cs="Times New Roman"/>
          <w:spacing w:val="-4"/>
          <w:u w:val="single"/>
        </w:rPr>
        <w:t>(p</w:t>
      </w:r>
      <w:r>
        <w:rPr>
          <w:rFonts w:cs="Times New Roman"/>
          <w:spacing w:val="-4"/>
        </w:rPr>
        <w:t xml:space="preserve">ri pôžičkách sa uvádzajú úrokové sadzby): </w:t>
      </w:r>
    </w:p>
    <w:p>
      <w:pPr>
        <w:pStyle w:val="6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ab/>
      </w:r>
    </w:p>
    <w:p>
      <w:pPr>
        <w:pStyle w:val="6"/>
        <w:numPr>
          <w:ilvl w:val="0"/>
          <w:numId w:val="3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 povinnostiach účtovnej jednotky, a to:</w:t>
      </w:r>
    </w:p>
    <w:p>
      <w:pPr>
        <w:pStyle w:val="6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</w:p>
    <w:p>
      <w:pPr>
        <w:pStyle w:val="6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5.a Informácie o celkovej sume finančných povinností, ktoré sa nevykazujú v súvahe:</w:t>
      </w:r>
    </w:p>
    <w:p>
      <w:pPr>
        <w:pStyle w:val="6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b/>
          <w:spacing w:val="2"/>
        </w:rPr>
        <w:t xml:space="preserve">      </w:t>
      </w:r>
      <w:r>
        <w:rPr>
          <w:rFonts w:cs="Times New Roman"/>
          <w:spacing w:val="2"/>
        </w:rPr>
        <w:t>Spoločnosti sa netýka.</w:t>
      </w: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  <w:spacing w:val="2"/>
        </w:rPr>
      </w:pPr>
    </w:p>
    <w:p>
      <w:pPr>
        <w:pStyle w:val="6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5.b Informácie o významných podmienených záväzkoch</w:t>
      </w:r>
    </w:p>
    <w:p>
      <w:pPr>
        <w:pStyle w:val="6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>
      <w:pPr>
        <w:pStyle w:val="6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p>
      <w:pPr>
        <w:pStyle w:val="6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5.c Opis významných povinností účtovnej jednotky vyplývajúcej z dôchodkových programov pre zamestnancov</w:t>
      </w:r>
    </w:p>
    <w:p>
      <w:pPr>
        <w:pStyle w:val="6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>
      <w:pPr>
        <w:pStyle w:val="6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>
      <w:pPr>
        <w:pStyle w:val="6"/>
        <w:numPr>
          <w:ilvl w:val="0"/>
          <w:numId w:val="3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>
        <w:rPr>
          <w:rFonts w:cs="Times New Roman"/>
          <w:b/>
          <w:spacing w:val="2"/>
          <w:u w:val="single"/>
        </w:rPr>
        <w:t>n</w:t>
      </w:r>
      <w:r>
        <w:rPr>
          <w:rFonts w:cs="Times New Roman"/>
          <w:b/>
          <w:u w:val="single"/>
        </w:rPr>
        <w:t>fo</w:t>
      </w:r>
      <w:r>
        <w:rPr>
          <w:rFonts w:cs="Times New Roman"/>
          <w:b/>
          <w:spacing w:val="-2"/>
          <w:u w:val="single"/>
        </w:rPr>
        <w:t>r</w:t>
      </w:r>
      <w:r>
        <w:rPr>
          <w:rFonts w:cs="Times New Roman"/>
          <w:b/>
          <w:u w:val="single"/>
        </w:rPr>
        <w:t>má</w:t>
      </w:r>
      <w:r>
        <w:rPr>
          <w:rFonts w:cs="Times New Roman"/>
          <w:b/>
          <w:spacing w:val="-2"/>
          <w:u w:val="single"/>
        </w:rPr>
        <w:t>c</w:t>
      </w:r>
      <w:r>
        <w:rPr>
          <w:rFonts w:cs="Times New Roman"/>
          <w:b/>
          <w:spacing w:val="2"/>
          <w:u w:val="single"/>
        </w:rPr>
        <w:t>i</w:t>
      </w:r>
      <w:r>
        <w:rPr>
          <w:rFonts w:cs="Times New Roman"/>
          <w:b/>
          <w:u w:val="single"/>
        </w:rPr>
        <w:t>e</w:t>
      </w:r>
      <w:r>
        <w:rPr>
          <w:rFonts w:cs="Times New Roman"/>
          <w:b/>
          <w:spacing w:val="-1"/>
          <w:u w:val="single"/>
        </w:rPr>
        <w:t xml:space="preserve"> </w:t>
      </w:r>
      <w:r>
        <w:rPr>
          <w:rFonts w:cs="Times New Roman"/>
          <w:b/>
          <w:u w:val="single"/>
        </w:rPr>
        <w:t>o udelení výlučného práva alebo osobitného práva, ktorým sa udelilo právo poskytovať služby vo verejnom záujme:</w:t>
      </w:r>
    </w:p>
    <w:p>
      <w:pPr>
        <w:pStyle w:val="6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>
      <w:pPr>
        <w:pStyle w:val="6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>
      <w:pPr>
        <w:pStyle w:val="6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>
      <w:pPr>
        <w:pStyle w:val="2"/>
        <w:ind w:right="839"/>
        <w:jc w:val="center"/>
        <w:rPr>
          <w:rFonts w:cs="Times New Roman"/>
        </w:rPr>
      </w:pPr>
    </w:p>
    <w:sectPr>
      <w:headerReference r:id="rId3" w:type="default"/>
      <w:footerReference r:id="rId4" w:type="default"/>
      <w:pgSz w:w="11907" w:h="16860"/>
      <w:pgMar w:top="567" w:right="720" w:bottom="567" w:left="720" w:header="0" w:footer="618" w:gutter="0"/>
      <w:pgNumType w:fmt="decimal"/>
      <w:cols w:space="708" w:num="1"/>
      <w:docGrid w:linePitch="29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6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2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WPZxIhAgAAYAQAAA4AAABkcnMvZTJvRG9jLnhtbK1UTYvbMBC9F/of&#10;hO6NnZQuIcRZ0g0phdBdyJaeFVmOBfpCUmKnv75Pcpxdtj3soRd5pBm90Xsz4+V9rxU5Cx+kNRWd&#10;TkpKhOG2luZY0Z/P209zSkJkpmbKGlHRiwj0fvXxw7JzCzGzrVW18AQgJiw6V9E2RrcoisBboVmY&#10;WCcMnI31mkVs/bGoPeuArlUxK8u7orO+dt5yEQJON4OTXhH9ewBt00guNpaftDBxQPVCsQhKoZUu&#10;0FV+bdMIHh+bJohIVEXBNOYVSWAf0lqslmxx9My1kl+fwN7zhDecNJMGSW9QGxYZOXn5F5SW3Ntg&#10;mzjhVhcDkawIWEzLN9rsW+ZE5gKpg7uJHv4fLP9xfvJE1hWdUWKYRsGfRR/JV9uTWVKnc2GBoL1D&#10;WOxxjJ4ZzwMOE+m+8Tp9QYfAD20vN20TGE+X5rP5vISLwzdugF+8XHc+xG/CapKMinoUL2vKzrsQ&#10;h9AxJGUzdiuVygVUhnQVvfv8pcwXbh6AK4McicTw2GTF/tBfmR1sfQExb4fGCI5vJZLvWIhPzKMT&#10;8GDMSnzE0iiLJPZqUdJa//tf5ykeBYKXkg6dVVGDQaJEfTcoHADjaPjROIyGOekHi1adYgYdzyYu&#10;+KhGs/FW/8IArVMOuJjhyFTROJoPcehuDCAX63UOOjkvj+1wAW3nWNyZveMpTRIyuPUpQsyscRJo&#10;UOWqGxovV+k6JKmzX+9z1MuPYfUH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s0lY7tAAAAAFAQAA&#10;DwAAAAAAAAABACAAAAAiAAAAZHJzL2Rvd25yZXYueG1sUEsBAhQAFAAAAAgAh07iQHWPZxIhAgAA&#10;YAQAAA4AAAAAAAAAAQAgAAAAHwEAAGRycy9lMm9Eb2MueG1sUEsFBgAAAAAGAAYAWQEAALIF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</w:pPr>
                  </w:p>
                </w:txbxContent>
              </v:textbox>
            </v:shape>
          </w:pict>
        </mc:Fallback>
      </mc:AlternateContent>
    </w:r>
  </w:p>
  <w:p>
    <w:pPr>
      <w:pStyle w:val="8"/>
    </w:pPr>
  </w:p>
  <w:p>
    <w:pPr>
      <w:pStyle w:val="8"/>
    </w:pPr>
  </w:p>
  <w:p>
    <w:pPr>
      <w:pStyle w:val="6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 xml:space="preserve"> 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</w:t>
    </w:r>
    <w:r>
      <w:rPr>
        <w:rFonts w:hint="default" w:ascii="Arial" w:hAnsi="Arial" w:cs="Arial"/>
        <w:sz w:val="22"/>
        <w:szCs w:val="22"/>
        <w:bdr w:val="single" w:color="auto" w:sz="4" w:space="0"/>
        <w:lang w:val="sk-SK"/>
      </w:rPr>
      <w:t>53237102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 </w:t>
    </w:r>
    <w:r>
      <w:rPr>
        <w:rFonts w:hint="default" w:ascii="Arial" w:hAnsi="Arial" w:cs="Arial"/>
        <w:sz w:val="22"/>
        <w:szCs w:val="22"/>
        <w:bdr w:val="single" w:color="auto" w:sz="4" w:space="0"/>
        <w:lang w:val="sk-SK"/>
      </w:rPr>
      <w:t>2121310268</w:t>
    </w:r>
    <w:r>
      <w:rPr>
        <w:rFonts w:ascii="Arial" w:hAnsi="Arial" w:cs="Arial"/>
        <w:sz w:val="22"/>
        <w:szCs w:val="22"/>
        <w:bdr w:val="single" w:color="auto" w:sz="4" w:space="0"/>
      </w:rPr>
      <w:t xml:space="preserve">  </w:t>
    </w:r>
  </w:p>
  <w:p>
    <w:pPr>
      <w:pStyle w:val="8"/>
      <w:rPr>
        <w:rFonts w:ascii="Times New Roman" w:hAnsi="Times New Roman" w:cs="Times New Roman"/>
        <w:sz w:val="24"/>
        <w:szCs w:val="24"/>
      </w:rPr>
    </w:pPr>
  </w:p>
  <w:p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FE1257"/>
    <w:multiLevelType w:val="multilevel"/>
    <w:tmpl w:val="23FE1257"/>
    <w:lvl w:ilvl="0" w:tentative="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181" w:hanging="360"/>
      </w:pPr>
    </w:lvl>
    <w:lvl w:ilvl="2" w:tentative="0">
      <w:start w:val="1"/>
      <w:numFmt w:val="lowerRoman"/>
      <w:lvlText w:val="%3."/>
      <w:lvlJc w:val="right"/>
      <w:pPr>
        <w:ind w:left="1901" w:hanging="180"/>
      </w:pPr>
    </w:lvl>
    <w:lvl w:ilvl="3" w:tentative="0">
      <w:start w:val="1"/>
      <w:numFmt w:val="decimal"/>
      <w:lvlText w:val="%4."/>
      <w:lvlJc w:val="left"/>
      <w:pPr>
        <w:ind w:left="2621" w:hanging="360"/>
      </w:pPr>
    </w:lvl>
    <w:lvl w:ilvl="4" w:tentative="0">
      <w:start w:val="1"/>
      <w:numFmt w:val="lowerLetter"/>
      <w:lvlText w:val="%5."/>
      <w:lvlJc w:val="left"/>
      <w:pPr>
        <w:ind w:left="3341" w:hanging="360"/>
      </w:pPr>
    </w:lvl>
    <w:lvl w:ilvl="5" w:tentative="0">
      <w:start w:val="1"/>
      <w:numFmt w:val="lowerRoman"/>
      <w:lvlText w:val="%6."/>
      <w:lvlJc w:val="right"/>
      <w:pPr>
        <w:ind w:left="4061" w:hanging="180"/>
      </w:pPr>
    </w:lvl>
    <w:lvl w:ilvl="6" w:tentative="0">
      <w:start w:val="1"/>
      <w:numFmt w:val="decimal"/>
      <w:lvlText w:val="%7."/>
      <w:lvlJc w:val="left"/>
      <w:pPr>
        <w:ind w:left="4781" w:hanging="360"/>
      </w:pPr>
    </w:lvl>
    <w:lvl w:ilvl="7" w:tentative="0">
      <w:start w:val="1"/>
      <w:numFmt w:val="lowerLetter"/>
      <w:lvlText w:val="%8."/>
      <w:lvlJc w:val="left"/>
      <w:pPr>
        <w:ind w:left="5501" w:hanging="360"/>
      </w:pPr>
    </w:lvl>
    <w:lvl w:ilvl="8" w:tentative="0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52F37575"/>
    <w:multiLevelType w:val="multilevel"/>
    <w:tmpl w:val="52F37575"/>
    <w:lvl w:ilvl="0" w:tentative="0">
      <w:start w:val="5"/>
      <w:numFmt w:val="decimal"/>
      <w:lvlText w:val="%1."/>
      <w:lvlJc w:val="left"/>
      <w:pPr>
        <w:ind w:left="4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181" w:hanging="360"/>
      </w:pPr>
    </w:lvl>
    <w:lvl w:ilvl="2" w:tentative="0">
      <w:start w:val="1"/>
      <w:numFmt w:val="lowerRoman"/>
      <w:lvlText w:val="%3."/>
      <w:lvlJc w:val="right"/>
      <w:pPr>
        <w:ind w:left="1901" w:hanging="180"/>
      </w:pPr>
    </w:lvl>
    <w:lvl w:ilvl="3" w:tentative="0">
      <w:start w:val="1"/>
      <w:numFmt w:val="decimal"/>
      <w:lvlText w:val="%4."/>
      <w:lvlJc w:val="left"/>
      <w:pPr>
        <w:ind w:left="2621" w:hanging="360"/>
      </w:pPr>
    </w:lvl>
    <w:lvl w:ilvl="4" w:tentative="0">
      <w:start w:val="1"/>
      <w:numFmt w:val="lowerLetter"/>
      <w:lvlText w:val="%5."/>
      <w:lvlJc w:val="left"/>
      <w:pPr>
        <w:ind w:left="3341" w:hanging="360"/>
      </w:pPr>
    </w:lvl>
    <w:lvl w:ilvl="5" w:tentative="0">
      <w:start w:val="1"/>
      <w:numFmt w:val="lowerRoman"/>
      <w:lvlText w:val="%6."/>
      <w:lvlJc w:val="right"/>
      <w:pPr>
        <w:ind w:left="4061" w:hanging="180"/>
      </w:pPr>
    </w:lvl>
    <w:lvl w:ilvl="6" w:tentative="0">
      <w:start w:val="1"/>
      <w:numFmt w:val="decimal"/>
      <w:lvlText w:val="%7."/>
      <w:lvlJc w:val="left"/>
      <w:pPr>
        <w:ind w:left="4781" w:hanging="360"/>
      </w:pPr>
    </w:lvl>
    <w:lvl w:ilvl="7" w:tentative="0">
      <w:start w:val="1"/>
      <w:numFmt w:val="lowerLetter"/>
      <w:lvlText w:val="%8."/>
      <w:lvlJc w:val="left"/>
      <w:pPr>
        <w:ind w:left="5501" w:hanging="360"/>
      </w:pPr>
    </w:lvl>
    <w:lvl w:ilvl="8" w:tentative="0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55880BF0"/>
    <w:multiLevelType w:val="multilevel"/>
    <w:tmpl w:val="55880BF0"/>
    <w:lvl w:ilvl="0" w:tentative="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181" w:hanging="360"/>
      </w:pPr>
    </w:lvl>
    <w:lvl w:ilvl="2" w:tentative="0">
      <w:start w:val="1"/>
      <w:numFmt w:val="lowerRoman"/>
      <w:lvlText w:val="%3."/>
      <w:lvlJc w:val="right"/>
      <w:pPr>
        <w:ind w:left="1901" w:hanging="180"/>
      </w:pPr>
    </w:lvl>
    <w:lvl w:ilvl="3" w:tentative="0">
      <w:start w:val="1"/>
      <w:numFmt w:val="decimal"/>
      <w:lvlText w:val="%4."/>
      <w:lvlJc w:val="left"/>
      <w:pPr>
        <w:ind w:left="2621" w:hanging="360"/>
      </w:pPr>
    </w:lvl>
    <w:lvl w:ilvl="4" w:tentative="0">
      <w:start w:val="1"/>
      <w:numFmt w:val="lowerLetter"/>
      <w:lvlText w:val="%5."/>
      <w:lvlJc w:val="left"/>
      <w:pPr>
        <w:ind w:left="3341" w:hanging="360"/>
      </w:pPr>
    </w:lvl>
    <w:lvl w:ilvl="5" w:tentative="0">
      <w:start w:val="1"/>
      <w:numFmt w:val="lowerRoman"/>
      <w:lvlText w:val="%6."/>
      <w:lvlJc w:val="right"/>
      <w:pPr>
        <w:ind w:left="4061" w:hanging="180"/>
      </w:pPr>
    </w:lvl>
    <w:lvl w:ilvl="6" w:tentative="0">
      <w:start w:val="1"/>
      <w:numFmt w:val="decimal"/>
      <w:lvlText w:val="%7."/>
      <w:lvlJc w:val="left"/>
      <w:pPr>
        <w:ind w:left="4781" w:hanging="360"/>
      </w:pPr>
    </w:lvl>
    <w:lvl w:ilvl="7" w:tentative="0">
      <w:start w:val="1"/>
      <w:numFmt w:val="lowerLetter"/>
      <w:lvlText w:val="%8."/>
      <w:lvlJc w:val="left"/>
      <w:pPr>
        <w:ind w:left="5501" w:hanging="360"/>
      </w:pPr>
    </w:lvl>
    <w:lvl w:ilvl="8" w:tentative="0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1345E"/>
    <w:rsid w:val="001243C3"/>
    <w:rsid w:val="001406AD"/>
    <w:rsid w:val="00146DE8"/>
    <w:rsid w:val="001703E5"/>
    <w:rsid w:val="001C4A43"/>
    <w:rsid w:val="0020637F"/>
    <w:rsid w:val="002205DF"/>
    <w:rsid w:val="002401F1"/>
    <w:rsid w:val="00270C7F"/>
    <w:rsid w:val="0027523E"/>
    <w:rsid w:val="002854A8"/>
    <w:rsid w:val="002C12B4"/>
    <w:rsid w:val="002D76EC"/>
    <w:rsid w:val="002D7E6D"/>
    <w:rsid w:val="002E0961"/>
    <w:rsid w:val="003563DA"/>
    <w:rsid w:val="00361F1A"/>
    <w:rsid w:val="003657F5"/>
    <w:rsid w:val="00373635"/>
    <w:rsid w:val="003A4D1E"/>
    <w:rsid w:val="003D056F"/>
    <w:rsid w:val="00401155"/>
    <w:rsid w:val="00432C1E"/>
    <w:rsid w:val="0043574D"/>
    <w:rsid w:val="004714A0"/>
    <w:rsid w:val="004A2BF3"/>
    <w:rsid w:val="004B167F"/>
    <w:rsid w:val="005112F9"/>
    <w:rsid w:val="00533206"/>
    <w:rsid w:val="00537128"/>
    <w:rsid w:val="0055784D"/>
    <w:rsid w:val="00564F4F"/>
    <w:rsid w:val="00595E31"/>
    <w:rsid w:val="005A506A"/>
    <w:rsid w:val="005F6982"/>
    <w:rsid w:val="00623868"/>
    <w:rsid w:val="00637F73"/>
    <w:rsid w:val="006636A7"/>
    <w:rsid w:val="00676DB4"/>
    <w:rsid w:val="006C0B61"/>
    <w:rsid w:val="006E0DF9"/>
    <w:rsid w:val="00721612"/>
    <w:rsid w:val="00737AED"/>
    <w:rsid w:val="00763C92"/>
    <w:rsid w:val="007924A8"/>
    <w:rsid w:val="007B17D4"/>
    <w:rsid w:val="00834ABA"/>
    <w:rsid w:val="00843B2E"/>
    <w:rsid w:val="0085154C"/>
    <w:rsid w:val="00856AC1"/>
    <w:rsid w:val="00874E6F"/>
    <w:rsid w:val="008771A6"/>
    <w:rsid w:val="00913435"/>
    <w:rsid w:val="00916772"/>
    <w:rsid w:val="009167AF"/>
    <w:rsid w:val="00930217"/>
    <w:rsid w:val="00995B0C"/>
    <w:rsid w:val="009A27D0"/>
    <w:rsid w:val="009B280C"/>
    <w:rsid w:val="009B6E27"/>
    <w:rsid w:val="009C3AD6"/>
    <w:rsid w:val="009C5272"/>
    <w:rsid w:val="009D5C84"/>
    <w:rsid w:val="00A443BA"/>
    <w:rsid w:val="00A515B4"/>
    <w:rsid w:val="00A55E63"/>
    <w:rsid w:val="00A85D20"/>
    <w:rsid w:val="00AD6C8A"/>
    <w:rsid w:val="00AD749D"/>
    <w:rsid w:val="00AD780E"/>
    <w:rsid w:val="00B026D9"/>
    <w:rsid w:val="00B02B62"/>
    <w:rsid w:val="00B15E67"/>
    <w:rsid w:val="00B30DA6"/>
    <w:rsid w:val="00B5580A"/>
    <w:rsid w:val="00B7440A"/>
    <w:rsid w:val="00B96756"/>
    <w:rsid w:val="00BB203D"/>
    <w:rsid w:val="00BF426A"/>
    <w:rsid w:val="00BF58C2"/>
    <w:rsid w:val="00C01CB7"/>
    <w:rsid w:val="00C04036"/>
    <w:rsid w:val="00C2320C"/>
    <w:rsid w:val="00C60764"/>
    <w:rsid w:val="00CA0F52"/>
    <w:rsid w:val="00CB205F"/>
    <w:rsid w:val="00CC3205"/>
    <w:rsid w:val="00CC6580"/>
    <w:rsid w:val="00CD545D"/>
    <w:rsid w:val="00CD6648"/>
    <w:rsid w:val="00D1371D"/>
    <w:rsid w:val="00D46945"/>
    <w:rsid w:val="00D80874"/>
    <w:rsid w:val="00DB3B9E"/>
    <w:rsid w:val="00DF4EC9"/>
    <w:rsid w:val="00E25737"/>
    <w:rsid w:val="00E259FE"/>
    <w:rsid w:val="00EA2C77"/>
    <w:rsid w:val="00EB4798"/>
    <w:rsid w:val="00EB55FA"/>
    <w:rsid w:val="00EB75BD"/>
    <w:rsid w:val="00EC6DA3"/>
    <w:rsid w:val="00EE5474"/>
    <w:rsid w:val="00F11C86"/>
    <w:rsid w:val="00F404E8"/>
    <w:rsid w:val="00F817B0"/>
    <w:rsid w:val="00F851F6"/>
    <w:rsid w:val="221449C0"/>
    <w:rsid w:val="44BE1D0D"/>
    <w:rsid w:val="49A33A85"/>
    <w:rsid w:val="60BC2A36"/>
    <w:rsid w:val="6EBB7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link w:val="18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6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6">
    <w:name w:val="Body Text"/>
    <w:basedOn w:val="1"/>
    <w:link w:val="17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7">
    <w:name w:val="footer"/>
    <w:basedOn w:val="1"/>
    <w:link w:val="15"/>
    <w:unhideWhenUsed/>
    <w:qFormat/>
    <w:uiPriority w:val="99"/>
    <w:pPr>
      <w:tabs>
        <w:tab w:val="center" w:pos="4536"/>
        <w:tab w:val="right" w:pos="9072"/>
      </w:tabs>
    </w:pPr>
  </w:style>
  <w:style w:type="paragraph" w:styleId="8">
    <w:name w:val="header"/>
    <w:basedOn w:val="1"/>
    <w:link w:val="14"/>
    <w:unhideWhenUsed/>
    <w:qFormat/>
    <w:uiPriority w:val="0"/>
    <w:pPr>
      <w:tabs>
        <w:tab w:val="center" w:pos="4536"/>
        <w:tab w:val="right" w:pos="9072"/>
      </w:tabs>
    </w:pPr>
  </w:style>
  <w:style w:type="character" w:styleId="9">
    <w:name w:val="Strong"/>
    <w:basedOn w:val="3"/>
    <w:qFormat/>
    <w:uiPriority w:val="22"/>
    <w:rPr>
      <w:b/>
      <w:bCs/>
    </w:rPr>
  </w:style>
  <w:style w:type="table" w:styleId="10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1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2">
    <w:name w:val="List Paragraph"/>
    <w:basedOn w:val="1"/>
    <w:qFormat/>
    <w:uiPriority w:val="1"/>
  </w:style>
  <w:style w:type="paragraph" w:customStyle="1" w:styleId="13">
    <w:name w:val="Table Paragraph"/>
    <w:basedOn w:val="1"/>
    <w:qFormat/>
    <w:uiPriority w:val="1"/>
  </w:style>
  <w:style w:type="character" w:customStyle="1" w:styleId="14">
    <w:name w:val="Hlavička Char"/>
    <w:basedOn w:val="3"/>
    <w:link w:val="8"/>
    <w:qFormat/>
    <w:uiPriority w:val="0"/>
  </w:style>
  <w:style w:type="character" w:customStyle="1" w:styleId="15">
    <w:name w:val="Päta Char"/>
    <w:basedOn w:val="3"/>
    <w:link w:val="7"/>
    <w:qFormat/>
    <w:uiPriority w:val="99"/>
  </w:style>
  <w:style w:type="character" w:customStyle="1" w:styleId="16">
    <w:name w:val="Text bubliny Char"/>
    <w:basedOn w:val="3"/>
    <w:link w:val="5"/>
    <w:semiHidden/>
    <w:uiPriority w:val="99"/>
    <w:rPr>
      <w:rFonts w:ascii="Segoe UI" w:hAnsi="Segoe UI" w:cs="Segoe UI"/>
      <w:sz w:val="18"/>
      <w:szCs w:val="18"/>
      <w:lang w:val="sk-SK"/>
    </w:rPr>
  </w:style>
  <w:style w:type="character" w:customStyle="1" w:styleId="17">
    <w:name w:val="Základný text Char"/>
    <w:basedOn w:val="3"/>
    <w:link w:val="6"/>
    <w:uiPriority w:val="1"/>
    <w:rPr>
      <w:rFonts w:ascii="Times New Roman" w:hAnsi="Times New Roman" w:eastAsia="Times New Roman"/>
      <w:sz w:val="24"/>
      <w:szCs w:val="24"/>
      <w:lang w:val="sk-SK"/>
    </w:rPr>
  </w:style>
  <w:style w:type="character" w:customStyle="1" w:styleId="18">
    <w:name w:val="Nadpis 1 Char"/>
    <w:basedOn w:val="3"/>
    <w:link w:val="2"/>
    <w:uiPriority w:val="1"/>
    <w:rPr>
      <w:rFonts w:ascii="Times New Roman" w:hAnsi="Times New Roman" w:eastAsia="Times New Roman"/>
      <w:b/>
      <w:bCs/>
      <w:sz w:val="24"/>
      <w:szCs w:val="24"/>
      <w:lang w:val="sk-SK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4</Pages>
  <Words>1328</Words>
  <Characters>7576</Characters>
  <Lines>63</Lines>
  <Paragraphs>17</Paragraphs>
  <TotalTime>10</TotalTime>
  <ScaleCrop>false</ScaleCrop>
  <LinksUpToDate>false</LinksUpToDate>
  <CharactersWithSpaces>8887</CharactersWithSpaces>
  <Application>WPS Office_12.2.0.13416_F1E327BC-269C-435d-A152-05C5408002CA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2023-04-05T11:24:00Z</dcterms:created>
  <dc:creator>PK</dc:creator>
  <cp:keywords>PK</cp:keywords>
  <cp:lastModifiedBy>Kovacikova</cp:lastModifiedBy>
  <cp:lastPrinted>2021-03-30T09:38:00Z</cp:lastPrinted>
  <dcterms:modified xsi:type="dcterms:W3CDTF">2024-01-24T10:20:07Z</dcterms:modified>
  <dc:title>Opatrenie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1033-12.2.0.13416</vt:lpwstr>
  </property>
  <property fmtid="{D5CDD505-2E9C-101B-9397-08002B2CF9AE}" pid="5" name="ICV">
    <vt:lpwstr>BF084F5D88F94DBAAC046E38504D8D7A_13</vt:lpwstr>
  </property>
</Properties>
</file>