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EC4" w:rsidRDefault="00EE592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POZNÁMKY K ÚČTOVNEJ ZÁVIERKE 2023</w:t>
      </w:r>
    </w:p>
    <w:p w:rsidR="00690EC4" w:rsidRDefault="00EE592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690EC4" w:rsidRDefault="00EE592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pre malé účtovné </w:t>
      </w:r>
      <w:r>
        <w:rPr>
          <w:rFonts w:ascii="Arial Narrow" w:hAnsi="Arial Narrow"/>
          <w:b/>
          <w:sz w:val="22"/>
          <w:szCs w:val="22"/>
        </w:rPr>
        <w:t>jednotky</w:t>
      </w:r>
      <w:r>
        <w:rPr>
          <w:rFonts w:ascii="Arial Narrow" w:hAnsi="Arial Narrow"/>
          <w:sz w:val="22"/>
          <w:szCs w:val="22"/>
        </w:rPr>
        <w:t xml:space="preserve"> </w:t>
      </w:r>
    </w:p>
    <w:p w:rsidR="00690EC4" w:rsidRDefault="00690EC4">
      <w:pPr>
        <w:rPr>
          <w:rFonts w:ascii="Arial Narrow" w:hAnsi="Arial Narrow"/>
          <w:sz w:val="22"/>
          <w:szCs w:val="22"/>
        </w:rPr>
      </w:pPr>
    </w:p>
    <w:p w:rsidR="00690EC4" w:rsidRDefault="00EE5929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:rsidR="00690EC4" w:rsidRDefault="00690EC4">
      <w:pPr>
        <w:rPr>
          <w:rFonts w:ascii="Arial Narrow" w:hAnsi="Arial Narrow"/>
          <w:sz w:val="22"/>
          <w:szCs w:val="22"/>
        </w:rPr>
      </w:pPr>
    </w:p>
    <w:p w:rsidR="00690EC4" w:rsidRDefault="00EE5929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:rsidR="00690EC4" w:rsidRDefault="00690EC4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2574"/>
        <w:gridCol w:w="6808"/>
      </w:tblGrid>
      <w:tr w:rsidR="00690EC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GreatOne 99,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s. r. o.</w:t>
            </w:r>
          </w:p>
        </w:tc>
      </w:tr>
      <w:tr w:rsidR="00690EC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Trenčianska 56/D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>
              <w:rPr>
                <w:rFonts w:ascii="Arial Narrow" w:hAnsi="Arial Narrow" w:cs="Arial Narrow"/>
                <w:sz w:val="22"/>
                <w:szCs w:val="22"/>
              </w:rPr>
              <w:t>821 09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Bratislava</w:t>
            </w:r>
          </w:p>
        </w:tc>
      </w:tr>
      <w:tr w:rsidR="00690EC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</w:tr>
      <w:tr w:rsidR="00690EC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>
              <w:rPr>
                <w:rFonts w:ascii="Arial Narrow" w:hAnsi="Arial Narrow" w:cs="Arial Narrow"/>
                <w:sz w:val="22"/>
                <w:szCs w:val="22"/>
              </w:rPr>
              <w:t>30.07.2015</w:t>
            </w:r>
          </w:p>
        </w:tc>
      </w:tr>
      <w:tr w:rsidR="00690EC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F</w:t>
            </w:r>
            <w:r>
              <w:rPr>
                <w:rFonts w:ascii="Arial Narrow" w:hAnsi="Arial Narrow" w:cs="Arial Narrow"/>
                <w:sz w:val="22"/>
                <w:szCs w:val="22"/>
              </w:rPr>
              <w:t>itnescentrá</w:t>
            </w:r>
          </w:p>
        </w:tc>
      </w:tr>
      <w:tr w:rsidR="00690EC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nie je subjektom verejného záujmu (§ 2/14 ZoU).</w:t>
            </w:r>
          </w:p>
        </w:tc>
      </w:tr>
      <w:tr w:rsidR="00690EC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EC4" w:rsidRDefault="00EE5929" w:rsidP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2023</w:t>
            </w:r>
          </w:p>
        </w:tc>
      </w:tr>
    </w:tbl>
    <w:p w:rsidR="00690EC4" w:rsidRDefault="00690EC4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690EC4" w:rsidRDefault="00EE5929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r>
        <w:rPr>
          <w:rFonts w:ascii="Arial Narrow" w:hAnsi="Arial Narrow" w:cs="Arial Narrow"/>
          <w:bCs/>
          <w:sz w:val="22"/>
          <w:szCs w:val="22"/>
          <w:u w:val="single"/>
        </w:rPr>
        <w:t>ZoU)</w:t>
      </w:r>
    </w:p>
    <w:p w:rsidR="00690EC4" w:rsidRDefault="00EE5929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(Do veľkostnej skupiny mala účtovná jednotka patrí taká, ktorá za dve po sebe idúce účtovné obdobia spĺňa aspoň dve z troch podmienok – suma netto aktív presiahla 350 000 eura, ale nepresiahla 4 000 000 eur, čistý obrat presiahol 700 000 eur, ale nepr</w:t>
      </w:r>
      <w:r>
        <w:rPr>
          <w:rFonts w:ascii="Arial Narrow" w:hAnsi="Arial Narrow" w:cs="Arial Narrow"/>
          <w:bCs/>
          <w:sz w:val="22"/>
          <w:szCs w:val="22"/>
        </w:rPr>
        <w:t xml:space="preserve">esiahol 8 000 000 eur a priemerný prepočítaný počet zamestnancov počas účtovného obdobia presiahol 10, ale nepresiahol 50).  </w:t>
      </w:r>
    </w:p>
    <w:p w:rsidR="00690EC4" w:rsidRDefault="00690EC4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690EC4">
        <w:tc>
          <w:tcPr>
            <w:tcW w:w="2197" w:type="dxa"/>
            <w:shd w:val="clear" w:color="auto" w:fill="auto"/>
          </w:tcPr>
          <w:p w:rsidR="00690EC4" w:rsidRDefault="00EE592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shd w:val="clear" w:color="auto" w:fill="auto"/>
          </w:tcPr>
          <w:p w:rsidR="00690EC4" w:rsidRDefault="00EE592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690EC4" w:rsidRDefault="00EE592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690EC4" w:rsidRDefault="00EE592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EE5929">
        <w:tc>
          <w:tcPr>
            <w:tcW w:w="2197" w:type="dxa"/>
            <w:shd w:val="clear" w:color="auto" w:fill="auto"/>
          </w:tcPr>
          <w:p w:rsidR="00EE5929" w:rsidRDefault="00EE5929" w:rsidP="00EE5929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:rsidR="00EE5929" w:rsidRDefault="00EE5929" w:rsidP="00EE592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37 079</w:t>
            </w:r>
          </w:p>
        </w:tc>
        <w:tc>
          <w:tcPr>
            <w:tcW w:w="3260" w:type="dxa"/>
            <w:shd w:val="clear" w:color="auto" w:fill="auto"/>
          </w:tcPr>
          <w:p w:rsidR="00EE5929" w:rsidRDefault="00EE5929" w:rsidP="00EE592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43 062</w:t>
            </w:r>
          </w:p>
        </w:tc>
        <w:tc>
          <w:tcPr>
            <w:tcW w:w="1276" w:type="dxa"/>
            <w:shd w:val="clear" w:color="auto" w:fill="auto"/>
          </w:tcPr>
          <w:p w:rsidR="00EE5929" w:rsidRDefault="00EE5929" w:rsidP="00EE592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EE5929">
        <w:tc>
          <w:tcPr>
            <w:tcW w:w="2197" w:type="dxa"/>
            <w:shd w:val="clear" w:color="auto" w:fill="auto"/>
          </w:tcPr>
          <w:p w:rsidR="00EE5929" w:rsidRDefault="00EE5929" w:rsidP="00EE5929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:rsidR="00EE5929" w:rsidRDefault="00EE5929" w:rsidP="00EE592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340</w:t>
            </w:r>
          </w:p>
        </w:tc>
        <w:tc>
          <w:tcPr>
            <w:tcW w:w="3260" w:type="dxa"/>
            <w:shd w:val="clear" w:color="auto" w:fill="auto"/>
          </w:tcPr>
          <w:p w:rsidR="00EE5929" w:rsidRDefault="00EE5929" w:rsidP="00EE592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747</w:t>
            </w:r>
          </w:p>
        </w:tc>
        <w:tc>
          <w:tcPr>
            <w:tcW w:w="1276" w:type="dxa"/>
            <w:shd w:val="clear" w:color="auto" w:fill="auto"/>
          </w:tcPr>
          <w:p w:rsidR="00EE5929" w:rsidRDefault="00EE5929" w:rsidP="00EE592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EE5929">
        <w:trPr>
          <w:trHeight w:val="101"/>
        </w:trPr>
        <w:tc>
          <w:tcPr>
            <w:tcW w:w="2197" w:type="dxa"/>
            <w:shd w:val="clear" w:color="auto" w:fill="auto"/>
          </w:tcPr>
          <w:p w:rsidR="00EE5929" w:rsidRDefault="00EE5929" w:rsidP="00EE5929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EE5929" w:rsidRDefault="00EE5929" w:rsidP="00EE592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EE5929" w:rsidRDefault="00EE5929" w:rsidP="00EE592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E5929" w:rsidRDefault="00EE5929" w:rsidP="00EE592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:rsidR="00690EC4" w:rsidRDefault="00690EC4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690EC4" w:rsidRDefault="00EE592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UJ spĺňa veľkostné podmienky na zatriedenie do veľkostnej skupiny – </w:t>
      </w:r>
      <w:r>
        <w:rPr>
          <w:rFonts w:ascii="Arial Narrow" w:hAnsi="Arial Narrow" w:cs="Arial Narrow"/>
          <w:b/>
          <w:sz w:val="22"/>
          <w:szCs w:val="22"/>
        </w:rPr>
        <w:t xml:space="preserve">malá účtovná jednotka, </w:t>
      </w:r>
      <w:r>
        <w:rPr>
          <w:rFonts w:ascii="Arial Narrow" w:hAnsi="Arial Narrow" w:cs="Arial Narrow"/>
          <w:sz w:val="22"/>
          <w:szCs w:val="22"/>
        </w:rPr>
        <w:t>preto zostavuje účtovnú závierku podľa metodiky pre túto veľkostnú skupinu (</w:t>
      </w:r>
      <w:r>
        <w:rPr>
          <w:rFonts w:ascii="Arial Narrow" w:hAnsi="Arial Narrow"/>
          <w:sz w:val="22"/>
          <w:szCs w:val="22"/>
        </w:rPr>
        <w:t xml:space="preserve">Opatrenie </w:t>
      </w:r>
      <w:r>
        <w:rPr>
          <w:rFonts w:ascii="Arial Narrow" w:hAnsi="Arial Narrow"/>
          <w:sz w:val="22"/>
          <w:szCs w:val="22"/>
        </w:rPr>
        <w:t>č.MF/23378/2014-74)</w:t>
      </w:r>
      <w:r>
        <w:rPr>
          <w:rFonts w:ascii="Arial Narrow" w:hAnsi="Arial Narrow" w:cs="Arial Narrow"/>
          <w:sz w:val="22"/>
          <w:szCs w:val="22"/>
        </w:rPr>
        <w:t>.</w:t>
      </w:r>
    </w:p>
    <w:p w:rsidR="00690EC4" w:rsidRDefault="00690EC4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690EC4" w:rsidRDefault="00EE592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2) Účtovná závierka Spoločnosti k 31.12.2022</w:t>
      </w:r>
      <w:r>
        <w:rPr>
          <w:rFonts w:ascii="Arial Narrow" w:hAnsi="Arial Narrow" w:cs="Arial Narrow"/>
          <w:sz w:val="22"/>
          <w:szCs w:val="22"/>
        </w:rPr>
        <w:t xml:space="preserve"> za predchádzajúce účtovné obdobie bola schválená 12</w:t>
      </w:r>
      <w:r>
        <w:rPr>
          <w:rFonts w:ascii="Arial Narrow" w:hAnsi="Arial Narrow" w:cs="Arial Narrow"/>
          <w:sz w:val="22"/>
          <w:szCs w:val="22"/>
        </w:rPr>
        <w:t>.03</w:t>
      </w:r>
      <w:r>
        <w:rPr>
          <w:rFonts w:ascii="Arial Narrow" w:hAnsi="Arial Narrow" w:cs="Arial Narrow"/>
          <w:sz w:val="22"/>
          <w:szCs w:val="22"/>
        </w:rPr>
        <w:t>.2023</w:t>
      </w:r>
      <w:bookmarkStart w:id="0" w:name="_GoBack"/>
      <w:bookmarkEnd w:id="0"/>
      <w:r>
        <w:rPr>
          <w:rFonts w:ascii="Arial Narrow" w:hAnsi="Arial Narrow" w:cs="Arial Narrow"/>
          <w:sz w:val="22"/>
          <w:szCs w:val="22"/>
        </w:rPr>
        <w:t>.</w:t>
      </w:r>
    </w:p>
    <w:p w:rsidR="00690EC4" w:rsidRDefault="00EE592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690EC4" w:rsidRDefault="00EE5929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 riadna</w:t>
      </w:r>
    </w:p>
    <w:p w:rsidR="00690EC4" w:rsidRDefault="00690EC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EE5929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</w:t>
      </w:r>
      <w:r>
        <w:rPr>
          <w:rFonts w:ascii="Arial Narrow" w:hAnsi="Arial Narrow" w:cs="Arial Narrow"/>
          <w:b/>
          <w:bCs/>
          <w:sz w:val="22"/>
          <w:szCs w:val="22"/>
        </w:rPr>
        <w:t>s konsolidáciou</w:t>
      </w:r>
      <w:r>
        <w:rPr>
          <w:rFonts w:ascii="Arial Narrow" w:hAnsi="Arial Narrow" w:cs="Arial Narrow"/>
          <w:bCs/>
          <w:sz w:val="22"/>
          <w:szCs w:val="22"/>
        </w:rPr>
        <w:t xml:space="preserve">: </w:t>
      </w:r>
      <w:r>
        <w:rPr>
          <w:rFonts w:ascii="Arial Narrow" w:hAnsi="Arial Narrow" w:cs="Arial Narrow"/>
          <w:bCs/>
          <w:sz w:val="22"/>
          <w:szCs w:val="22"/>
        </w:rPr>
        <w:t>spoločnosť nie je súčasťou konsolidovaného celku</w:t>
      </w:r>
    </w:p>
    <w:p w:rsidR="00690EC4" w:rsidRDefault="00690EC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EE592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Účtovná jednotka  nie je materskou účtovnou jednotkou. </w:t>
      </w:r>
    </w:p>
    <w:p w:rsidR="00690EC4" w:rsidRDefault="00690EC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690EC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EE592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5"/>
        <w:gridCol w:w="2464"/>
        <w:gridCol w:w="2311"/>
      </w:tblGrid>
      <w:tr w:rsidR="00690EC4">
        <w:trPr>
          <w:trHeight w:val="537"/>
        </w:trPr>
        <w:tc>
          <w:tcPr>
            <w:tcW w:w="2492" w:type="pct"/>
            <w:vAlign w:val="center"/>
          </w:tcPr>
          <w:p w:rsidR="00690EC4" w:rsidRDefault="00EE5929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690EC4" w:rsidRDefault="00EE592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690EC4" w:rsidRDefault="00EE592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690EC4">
        <w:trPr>
          <w:trHeight w:val="163"/>
        </w:trPr>
        <w:tc>
          <w:tcPr>
            <w:tcW w:w="2492" w:type="pct"/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1294" w:type="pct"/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214" w:type="pct"/>
            <w:vAlign w:val="bottom"/>
          </w:tcPr>
          <w:p w:rsidR="00690EC4" w:rsidRDefault="00EE592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</w:tbl>
    <w:p w:rsidR="00690EC4" w:rsidRDefault="00690EC4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690EC4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EE592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690EC4" w:rsidRDefault="00690EC4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690EC4" w:rsidRDefault="00EE5929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jednotky:</w:t>
      </w:r>
    </w:p>
    <w:p w:rsidR="00690EC4" w:rsidRDefault="00EE5929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lastRenderedPageBreak/>
        <w:t xml:space="preserve">informácie o podmienkach a výške jednotlivých druhov záruk: </w:t>
      </w:r>
      <w:r>
        <w:rPr>
          <w:rFonts w:ascii="Arial Narrow" w:hAnsi="Arial Narrow" w:cs="Arial Narrow"/>
          <w:bCs/>
          <w:sz w:val="22"/>
          <w:szCs w:val="22"/>
        </w:rPr>
        <w:tab/>
        <w:t>žiadne</w:t>
      </w:r>
    </w:p>
    <w:p w:rsidR="00690EC4" w:rsidRDefault="00EE5929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informácie o podmienkach a výške iných </w:t>
      </w:r>
      <w:r>
        <w:rPr>
          <w:rFonts w:ascii="Arial Narrow" w:hAnsi="Arial Narrow" w:cs="Arial Narrow"/>
          <w:bCs/>
          <w:sz w:val="22"/>
          <w:szCs w:val="22"/>
        </w:rPr>
        <w:t>zabezpečení: žiadne</w:t>
      </w:r>
    </w:p>
    <w:p w:rsidR="00690EC4" w:rsidRDefault="00EE5929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o pôžičkách a ich podmienkach: žiadne</w:t>
      </w:r>
    </w:p>
    <w:p w:rsidR="00690EC4" w:rsidRDefault="00EE5929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o použití majetku účtovnej jednotky na súkromné účely: žiadne</w:t>
      </w:r>
    </w:p>
    <w:p w:rsidR="00690EC4" w:rsidRDefault="00690EC4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690EC4" w:rsidRDefault="00690EC4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EE5929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:rsidR="00690EC4" w:rsidRDefault="00690EC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690EC4" w:rsidRDefault="00EE592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Spoločnosť zostavila účtovnú závierku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závierkovom dni v zmysle § 7 ods. 4 zákona o účtovníctve. </w:t>
      </w:r>
    </w:p>
    <w:p w:rsidR="00690EC4" w:rsidRDefault="00690EC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EE592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2) Spoločnosť aplikovala účtovné zásad</w:t>
      </w:r>
      <w:r>
        <w:rPr>
          <w:rFonts w:ascii="Arial Narrow" w:hAnsi="Arial Narrow" w:cs="Arial Narrow"/>
          <w:sz w:val="22"/>
          <w:szCs w:val="22"/>
        </w:rPr>
        <w:t xml:space="preserve">y a účtovné metódy, ktoré sú dôležité na posúdenie majetku, záväzkov, finančnej situácie a výsledku hospodárenia konzistentne. </w:t>
      </w:r>
    </w:p>
    <w:p w:rsidR="00690EC4" w:rsidRDefault="00690EC4">
      <w:pPr>
        <w:numPr>
          <w:ilvl w:val="0"/>
          <w:numId w:val="2"/>
        </w:num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EE592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Spoločnosť si nie je vedomá žiadnych </w:t>
      </w:r>
      <w:r>
        <w:rPr>
          <w:rFonts w:ascii="Arial Narrow" w:hAnsi="Arial Narrow" w:cs="Arial Narrow"/>
          <w:b/>
          <w:sz w:val="22"/>
          <w:szCs w:val="22"/>
        </w:rPr>
        <w:t>transakcií, ktoré by neboli neuvedené v súvahe</w:t>
      </w:r>
      <w:r>
        <w:rPr>
          <w:rFonts w:ascii="Arial Narrow" w:hAnsi="Arial Narrow" w:cs="Arial Narrow"/>
          <w:sz w:val="22"/>
          <w:szCs w:val="22"/>
        </w:rPr>
        <w:t>, a ktoré by pre spoločnosť predstavovali</w:t>
      </w:r>
      <w:r>
        <w:rPr>
          <w:rFonts w:ascii="Arial Narrow" w:hAnsi="Arial Narrow" w:cs="Arial Narrow"/>
          <w:sz w:val="22"/>
          <w:szCs w:val="22"/>
        </w:rPr>
        <w:t xml:space="preserve"> významné budúce </w:t>
      </w:r>
      <w:r>
        <w:rPr>
          <w:rFonts w:ascii="Arial Narrow" w:hAnsi="Arial Narrow" w:cs="Arial Narrow"/>
          <w:sz w:val="22"/>
          <w:szCs w:val="22"/>
          <w:u w:val="single"/>
        </w:rPr>
        <w:t>riziko alebo prínosy.</w:t>
      </w:r>
      <w:r>
        <w:rPr>
          <w:rFonts w:ascii="Arial Narrow" w:hAnsi="Arial Narrow" w:cs="Arial Narrow"/>
          <w:sz w:val="22"/>
          <w:szCs w:val="22"/>
        </w:rPr>
        <w:t xml:space="preserve"> (napr. súdne spory, zmluvy, časovo limitované licencie a oprávnenia, podnikové kombinácie, záväzky investovať, dopad legislatívy, celkový pokles v hospodárskom segmente):    </w:t>
      </w:r>
    </w:p>
    <w:p w:rsidR="00690EC4" w:rsidRDefault="00690EC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EE5929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</w:t>
      </w:r>
      <w:r>
        <w:rPr>
          <w:rFonts w:ascii="Arial Narrow" w:hAnsi="Arial Narrow" w:cs="Arial Narrow"/>
          <w:sz w:val="22"/>
          <w:szCs w:val="22"/>
        </w:rPr>
        <w:t>záväzkov (vrátane rozhodujúcich odhadov):</w:t>
      </w:r>
    </w:p>
    <w:p w:rsidR="00690EC4" w:rsidRDefault="00EE592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Spôsob oceňovania majetku a záväzkov (§ 25 ZoU):</w:t>
      </w:r>
    </w:p>
    <w:p w:rsidR="00690EC4" w:rsidRDefault="00690EC4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Vlastné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náklady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tok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Reprodukčná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ZV a zákazková výstavba nehnuteľnosti určenej 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Časové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jc w:val="both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90EC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en-AU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riv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en-AU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ty: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90EC4">
        <w:tc>
          <w:tcPr>
            <w:tcW w:w="706" w:type="dxa"/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690EC4" w:rsidRDefault="00EE5929">
            <w:pPr>
              <w:jc w:val="both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90EC4">
        <w:tc>
          <w:tcPr>
            <w:tcW w:w="706" w:type="dxa"/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690EC4" w:rsidRDefault="00EE5929">
            <w:pPr>
              <w:jc w:val="both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90EC4">
        <w:tc>
          <w:tcPr>
            <w:tcW w:w="706" w:type="dxa"/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shd w:val="clear" w:color="auto" w:fill="auto"/>
          </w:tcPr>
          <w:p w:rsidR="00690EC4" w:rsidRDefault="00EE5929">
            <w:pPr>
              <w:jc w:val="both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</w:tcPr>
          <w:p w:rsidR="00690EC4" w:rsidRDefault="00EE59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690EC4" w:rsidRDefault="00690EC4">
      <w:pPr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EE592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je zaúčtované formou opravnej položky stanovené odborným odhadom bonity klienta. </w:t>
      </w:r>
    </w:p>
    <w:p w:rsidR="00690EC4" w:rsidRDefault="00EE592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c) Záväzky účtovná jednotka ocenila menovitou hodnotou záväzkov. Rezervy účtovná jednot</w:t>
      </w:r>
      <w:r>
        <w:rPr>
          <w:rFonts w:ascii="Arial Narrow" w:hAnsi="Arial Narrow" w:cs="Arial Narrow"/>
          <w:sz w:val="22"/>
          <w:szCs w:val="22"/>
        </w:rPr>
        <w:t xml:space="preserve">ka ocenila odborným odhadom budúcej menovitej hodnoty potrebnej na ich úhradu. </w:t>
      </w:r>
    </w:p>
    <w:p w:rsidR="00690EC4" w:rsidRDefault="00EE592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p w:rsidR="00690EC4" w:rsidRDefault="00EE592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690EC4" w:rsidRDefault="00EE5929">
      <w:pPr>
        <w:spacing w:after="1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>
        <w:rPr>
          <w:rFonts w:ascii="Arial Narrow" w:hAnsi="Arial Narrow"/>
          <w:sz w:val="22"/>
          <w:szCs w:val="22"/>
        </w:rPr>
        <w:t xml:space="preserve">: </w:t>
      </w:r>
    </w:p>
    <w:p w:rsidR="00690EC4" w:rsidRDefault="00EE592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Finančné nástroje</w:t>
      </w:r>
      <w:r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</w:t>
      </w:r>
      <w:r>
        <w:rPr>
          <w:rFonts w:ascii="Arial Narrow" w:hAnsi="Arial Narrow" w:cs="Arial Narrow"/>
          <w:sz w:val="22"/>
          <w:szCs w:val="22"/>
        </w:rPr>
        <w:t>sné listy), deriváty (opcie, futures, swapy, forwardy), nástroje peňažného trhu (pokladničné poukážky, vkladové listy).</w:t>
      </w:r>
    </w:p>
    <w:p w:rsidR="00690EC4" w:rsidRDefault="00EE592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Opravné položky</w:t>
      </w:r>
      <w:r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odborným odhadom bonity príslušného majetku.</w:t>
      </w:r>
    </w:p>
    <w:p w:rsidR="00690EC4" w:rsidRDefault="00EE592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Opr</w:t>
      </w:r>
      <w:r>
        <w:rPr>
          <w:rFonts w:ascii="Arial Narrow" w:hAnsi="Arial Narrow" w:cs="Arial Narrow"/>
          <w:sz w:val="22"/>
          <w:szCs w:val="22"/>
          <w:u w:val="single"/>
        </w:rPr>
        <w:t>avnú položku k dlhodobej pohľadávke</w:t>
      </w:r>
      <w:r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690EC4" w:rsidRDefault="00EE592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Rezervy</w:t>
      </w:r>
      <w:r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690EC4" w:rsidRDefault="00EE592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690EC4" w:rsidRDefault="00EE592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ÚJ po</w:t>
      </w:r>
      <w:r>
        <w:rPr>
          <w:rFonts w:ascii="Arial Narrow" w:hAnsi="Arial Narrow" w:cs="Arial Narrow"/>
          <w:sz w:val="22"/>
          <w:szCs w:val="22"/>
        </w:rPr>
        <w:t xml:space="preserve">užíva pri oceňovaní úbytku rovnakého druhu zásob a cenných papierov – </w:t>
      </w:r>
      <w:r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:rsidR="00690EC4" w:rsidRDefault="00EE592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prírastku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>
        <w:rPr>
          <w:rFonts w:ascii="Arial Narrow" w:hAnsi="Arial Narrow" w:cs="Arial Narrow"/>
          <w:sz w:val="22"/>
          <w:szCs w:val="22"/>
          <w:u w:val="single"/>
        </w:rPr>
        <w:t>zmenárenský kurz</w:t>
      </w:r>
      <w:r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:rsidR="00690EC4" w:rsidRDefault="00EE592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</w:rPr>
        <w:t xml:space="preserve">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úbytku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>
        <w:rPr>
          <w:rFonts w:ascii="Arial Narrow" w:hAnsi="Arial Narrow" w:cs="Arial Narrow"/>
          <w:sz w:val="22"/>
          <w:szCs w:val="22"/>
          <w:u w:val="single"/>
        </w:rPr>
        <w:t>základné pravidlo</w:t>
      </w:r>
      <w:r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690EC4" w:rsidRDefault="00EE592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ZoU).</w:t>
      </w:r>
    </w:p>
    <w:p w:rsidR="00690EC4" w:rsidRDefault="00690EC4"/>
    <w:p w:rsidR="00690EC4" w:rsidRDefault="00EE5929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7"/>
        <w:gridCol w:w="1005"/>
        <w:gridCol w:w="2087"/>
        <w:gridCol w:w="2239"/>
      </w:tblGrid>
      <w:tr w:rsidR="00690EC4">
        <w:tc>
          <w:tcPr>
            <w:tcW w:w="4218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Dlhodobý hmotný a nehmotný</w:t>
            </w:r>
          </w:p>
          <w:p w:rsidR="00690EC4" w:rsidRDefault="00EE592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690EC4" w:rsidRDefault="00EE592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690EC4" w:rsidRDefault="00EE592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t rokov)</w:t>
            </w:r>
          </w:p>
        </w:tc>
        <w:tc>
          <w:tcPr>
            <w:tcW w:w="2268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690EC4" w:rsidRDefault="00EE592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690EC4">
        <w:tc>
          <w:tcPr>
            <w:tcW w:w="4218" w:type="dxa"/>
          </w:tcPr>
          <w:p w:rsidR="00690EC4" w:rsidRDefault="00EE592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690EC4">
        <w:tc>
          <w:tcPr>
            <w:tcW w:w="4218" w:type="dxa"/>
          </w:tcPr>
          <w:p w:rsidR="00690EC4" w:rsidRDefault="00EE592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690EC4">
        <w:tc>
          <w:tcPr>
            <w:tcW w:w="4218" w:type="dxa"/>
          </w:tcPr>
          <w:p w:rsidR="00690EC4" w:rsidRDefault="00EE592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690EC4">
        <w:tc>
          <w:tcPr>
            <w:tcW w:w="4218" w:type="dxa"/>
          </w:tcPr>
          <w:p w:rsidR="00690EC4" w:rsidRDefault="00EE592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Počítače s príslušenstvom</w:t>
            </w:r>
          </w:p>
        </w:tc>
        <w:tc>
          <w:tcPr>
            <w:tcW w:w="1013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690EC4">
        <w:tc>
          <w:tcPr>
            <w:tcW w:w="4218" w:type="dxa"/>
          </w:tcPr>
          <w:p w:rsidR="00690EC4" w:rsidRDefault="00EE592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14,3</w:t>
            </w:r>
          </w:p>
        </w:tc>
      </w:tr>
      <w:tr w:rsidR="00690EC4">
        <w:tc>
          <w:tcPr>
            <w:tcW w:w="4218" w:type="dxa"/>
          </w:tcPr>
          <w:p w:rsidR="00690EC4" w:rsidRDefault="00EE592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690EC4">
        <w:tc>
          <w:tcPr>
            <w:tcW w:w="4218" w:type="dxa"/>
          </w:tcPr>
          <w:p w:rsidR="00690EC4" w:rsidRDefault="00EE592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690EC4" w:rsidRDefault="00EE592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20</w:t>
            </w:r>
          </w:p>
        </w:tc>
      </w:tr>
    </w:tbl>
    <w:p w:rsidR="00690EC4" w:rsidRDefault="00EE5929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690EC4" w:rsidRDefault="00690EC4">
      <w:pPr>
        <w:jc w:val="both"/>
        <w:rPr>
          <w:rFonts w:ascii="Arial Narrow" w:hAnsi="Arial Narrow" w:cs="Arial"/>
          <w:sz w:val="22"/>
          <w:szCs w:val="22"/>
        </w:rPr>
      </w:pPr>
    </w:p>
    <w:p w:rsidR="00690EC4" w:rsidRDefault="00690EC4">
      <w:pPr>
        <w:jc w:val="both"/>
        <w:rPr>
          <w:rFonts w:ascii="Arial Narrow" w:hAnsi="Arial Narrow" w:cs="Arial"/>
          <w:sz w:val="22"/>
          <w:szCs w:val="22"/>
        </w:rPr>
      </w:pPr>
    </w:p>
    <w:p w:rsidR="00690EC4" w:rsidRDefault="00EE5929">
      <w:pPr>
        <w:spacing w:after="12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u w:val="single"/>
        </w:rPr>
        <w:t xml:space="preserve">Komentár </w:t>
      </w:r>
      <w:r>
        <w:rPr>
          <w:rFonts w:ascii="Arial Narrow" w:hAnsi="Arial Narrow"/>
          <w:sz w:val="22"/>
          <w:szCs w:val="22"/>
          <w:u w:val="single"/>
        </w:rPr>
        <w:t>k odpisovému plánu</w:t>
      </w:r>
      <w:r>
        <w:rPr>
          <w:rFonts w:ascii="Arial Narrow" w:hAnsi="Arial Narrow"/>
          <w:sz w:val="22"/>
          <w:szCs w:val="22"/>
        </w:rPr>
        <w:t xml:space="preserve">: </w:t>
      </w:r>
    </w:p>
    <w:p w:rsidR="00690EC4" w:rsidRDefault="00EE592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"/>
          <w:sz w:val="22"/>
          <w:szCs w:val="22"/>
          <w:u w:val="single"/>
        </w:rPr>
        <w:t>zaradený do užívania</w:t>
      </w:r>
      <w:r>
        <w:rPr>
          <w:rFonts w:ascii="Arial Narrow" w:hAnsi="Arial Narrow" w:cs="Arial"/>
          <w:sz w:val="22"/>
          <w:szCs w:val="22"/>
        </w:rPr>
        <w:t xml:space="preserve">. Účtovné odpisy vychádzajú z predpokladanej doby používania majetku. Dlhodobý nehmotný majetok sa odpisuje </w:t>
      </w:r>
      <w:r>
        <w:rPr>
          <w:rFonts w:ascii="Arial Narrow" w:hAnsi="Arial Narrow" w:cs="Arial"/>
          <w:sz w:val="22"/>
          <w:szCs w:val="22"/>
        </w:rPr>
        <w:t>počas 4 rokov od jeho obstarania.</w:t>
      </w:r>
    </w:p>
    <w:p w:rsidR="00690EC4" w:rsidRDefault="00EE592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rovnomerné odpisovanie</w:t>
      </w:r>
      <w:r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</w:t>
      </w:r>
      <w:r>
        <w:rPr>
          <w:rFonts w:ascii="Arial Narrow" w:hAnsi="Arial Narrow" w:cs="Arial"/>
          <w:sz w:val="22"/>
          <w:szCs w:val="22"/>
        </w:rPr>
        <w:t>a zákona o dani z príjmov).</w:t>
      </w:r>
    </w:p>
    <w:p w:rsidR="00690EC4" w:rsidRDefault="00EE592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>
        <w:rPr>
          <w:rFonts w:ascii="Arial Narrow" w:hAnsi="Arial Narrow" w:cs="Arial"/>
          <w:sz w:val="22"/>
          <w:szCs w:val="22"/>
          <w:u w:val="single"/>
        </w:rPr>
        <w:t>súbory hnuteľných vecí</w:t>
      </w:r>
      <w:r>
        <w:rPr>
          <w:rFonts w:ascii="Arial Narrow" w:hAnsi="Arial Narrow" w:cs="Arial"/>
          <w:sz w:val="22"/>
          <w:szCs w:val="22"/>
        </w:rPr>
        <w:t xml:space="preserve"> (napr. počítačová sieť, nábytková zostava). UJ nepoužíva komponentné odpisovanie (odpisovanie častí majetku - komponentov).</w:t>
      </w:r>
    </w:p>
    <w:p w:rsidR="00690EC4" w:rsidRDefault="00EE592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nepoužila </w:t>
      </w:r>
      <w:r>
        <w:rPr>
          <w:rFonts w:ascii="Arial Narrow" w:hAnsi="Arial Narrow" w:cs="Arial Narrow"/>
          <w:sz w:val="22"/>
          <w:szCs w:val="22"/>
          <w:u w:val="single"/>
        </w:rPr>
        <w:t>jednorazový odpis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dlhod</w:t>
      </w:r>
      <w:r>
        <w:rPr>
          <w:rFonts w:ascii="Arial Narrow" w:hAnsi="Arial Narrow" w:cs="Arial Narrow"/>
          <w:sz w:val="22"/>
          <w:szCs w:val="22"/>
        </w:rPr>
        <w:t>obého majetku z dôvodu jednorazového trvalého zníženia hodnoty majetku (§ 21/5 PU).</w:t>
      </w:r>
    </w:p>
    <w:p w:rsidR="00690EC4" w:rsidRDefault="00EE592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ÚJ </w:t>
      </w:r>
      <w:r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>
        <w:rPr>
          <w:rFonts w:ascii="Arial Narrow" w:hAnsi="Arial Narrow"/>
          <w:sz w:val="22"/>
          <w:szCs w:val="22"/>
        </w:rPr>
        <w:t xml:space="preserve"> - položky pod 2 400 eur jednotkovej ceny so životnosťou nad jeden rok (§ 13/2 PU).</w:t>
      </w:r>
    </w:p>
    <w:p w:rsidR="00690EC4" w:rsidRDefault="00EE592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ÚJ </w:t>
      </w:r>
      <w:r>
        <w:rPr>
          <w:rFonts w:ascii="Arial Narrow" w:hAnsi="Arial Narrow"/>
          <w:sz w:val="22"/>
          <w:szCs w:val="22"/>
          <w:u w:val="single"/>
        </w:rPr>
        <w:t>nepoužíva kategóriu drob</w:t>
      </w:r>
      <w:r>
        <w:rPr>
          <w:rFonts w:ascii="Arial Narrow" w:hAnsi="Arial Narrow"/>
          <w:sz w:val="22"/>
          <w:szCs w:val="22"/>
          <w:u w:val="single"/>
        </w:rPr>
        <w:t>ného dlhodobého hmotného majetku</w:t>
      </w:r>
      <w:r>
        <w:rPr>
          <w:rFonts w:ascii="Arial Narrow" w:hAnsi="Arial Narrow"/>
          <w:sz w:val="22"/>
          <w:szCs w:val="22"/>
        </w:rPr>
        <w:t xml:space="preserve"> - položky pod 1 700 eur jednotkovej ceny so životnosťou nad jeden rok (§ 13/6 PU).</w:t>
      </w:r>
    </w:p>
    <w:p w:rsidR="00690EC4" w:rsidRDefault="00EE592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>
        <w:rPr>
          <w:rFonts w:ascii="Arial Narrow" w:hAnsi="Arial Narrow" w:cs="Arial Narrow"/>
          <w:sz w:val="22"/>
          <w:szCs w:val="22"/>
        </w:rPr>
        <w:t xml:space="preserve"> do odpisovaného dlhodobého majetku – technické zhodnotenie pod 1 700 </w:t>
      </w:r>
      <w:r>
        <w:rPr>
          <w:rFonts w:ascii="Arial Narrow" w:hAnsi="Arial Narrow" w:cs="Arial Narrow"/>
          <w:sz w:val="22"/>
          <w:szCs w:val="22"/>
        </w:rPr>
        <w:t>eur za účtovné obdobie (§ 21/3 PU; § 29/2 ZDP).</w:t>
      </w:r>
    </w:p>
    <w:p w:rsidR="00690EC4" w:rsidRDefault="00EE5929">
      <w:pPr>
        <w:numPr>
          <w:ilvl w:val="0"/>
          <w:numId w:val="4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>
        <w:rPr>
          <w:rFonts w:ascii="Arial Narrow" w:hAnsi="Arial Narrow" w:cs="Arial Narrow"/>
          <w:sz w:val="22"/>
          <w:szCs w:val="22"/>
        </w:rPr>
        <w:t xml:space="preserve"> do obstarávacej ceny odpisovaného dlhodobého hmotného majetku alebo dlhodobého nehmotného majetku (§ 34/1 PU; § 35/2/h PU).</w:t>
      </w:r>
    </w:p>
    <w:p w:rsidR="00690EC4" w:rsidRDefault="00690EC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EE5929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žiadne</w:t>
      </w:r>
    </w:p>
    <w:p w:rsidR="00690EC4" w:rsidRDefault="00690EC4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690EC4" w:rsidRDefault="00EE5929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690EC4">
        <w:tc>
          <w:tcPr>
            <w:tcW w:w="1601" w:type="pct"/>
            <w:shd w:val="clear" w:color="auto" w:fill="auto"/>
          </w:tcPr>
          <w:p w:rsidR="00690EC4" w:rsidRDefault="00EE592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:rsidR="00690EC4" w:rsidRDefault="00EE592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:rsidR="00690EC4" w:rsidRDefault="00EE592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:rsidR="00690EC4" w:rsidRDefault="00EE592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:rsidR="00690EC4" w:rsidRDefault="00EE592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690EC4">
        <w:tc>
          <w:tcPr>
            <w:tcW w:w="1601" w:type="pct"/>
            <w:shd w:val="clear" w:color="auto" w:fill="auto"/>
          </w:tcPr>
          <w:p w:rsidR="00690EC4" w:rsidRDefault="00690EC4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690EC4" w:rsidRDefault="00690EC4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690EC4" w:rsidRDefault="00690EC4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690EC4" w:rsidRDefault="00690EC4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690EC4" w:rsidRDefault="00690EC4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90EC4">
        <w:tc>
          <w:tcPr>
            <w:tcW w:w="1601" w:type="pct"/>
            <w:shd w:val="clear" w:color="auto" w:fill="auto"/>
          </w:tcPr>
          <w:p w:rsidR="00690EC4" w:rsidRDefault="00690EC4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690EC4" w:rsidRDefault="00690EC4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690EC4" w:rsidRDefault="00690EC4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690EC4" w:rsidRDefault="00690EC4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690EC4" w:rsidRDefault="00690EC4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690EC4" w:rsidRDefault="00690EC4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690EC4">
      <w:pPr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EE5929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:rsidR="00690EC4" w:rsidRDefault="00690EC4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EE5929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Celková suma </w:t>
      </w:r>
      <w:r>
        <w:rPr>
          <w:rFonts w:ascii="Arial Narrow" w:hAnsi="Arial Narrow" w:cs="Arial Narrow"/>
          <w:sz w:val="22"/>
          <w:szCs w:val="22"/>
          <w:u w:val="single"/>
        </w:rPr>
        <w:t xml:space="preserve">záväzkov so zostatkovou </w:t>
      </w:r>
      <w:r>
        <w:rPr>
          <w:rFonts w:ascii="Arial Narrow" w:hAnsi="Arial Narrow" w:cs="Arial Narrow"/>
          <w:sz w:val="22"/>
          <w:szCs w:val="22"/>
          <w:u w:val="single"/>
        </w:rPr>
        <w:t>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690EC4">
        <w:trPr>
          <w:trHeight w:val="693"/>
          <w:jc w:val="center"/>
        </w:trPr>
        <w:tc>
          <w:tcPr>
            <w:tcW w:w="2463" w:type="pct"/>
            <w:vAlign w:val="center"/>
          </w:tcPr>
          <w:p w:rsidR="00690EC4" w:rsidRDefault="00EE5929">
            <w:pPr>
              <w:pStyle w:val="TopHeader"/>
            </w:pPr>
            <w:r>
              <w:t>Názov položky</w:t>
            </w:r>
          </w:p>
        </w:tc>
        <w:tc>
          <w:tcPr>
            <w:tcW w:w="1314" w:type="pct"/>
            <w:noWrap/>
            <w:vAlign w:val="center"/>
          </w:tcPr>
          <w:p w:rsidR="00690EC4" w:rsidRDefault="00EE5929">
            <w:pPr>
              <w:pStyle w:val="TopHeader"/>
            </w:pPr>
            <w:r>
              <w:t>Bežné účtovné obdobie</w:t>
            </w:r>
          </w:p>
        </w:tc>
        <w:tc>
          <w:tcPr>
            <w:tcW w:w="1223" w:type="pct"/>
            <w:vAlign w:val="center"/>
          </w:tcPr>
          <w:p w:rsidR="00690EC4" w:rsidRDefault="00EE5929">
            <w:pPr>
              <w:pStyle w:val="TopHeader"/>
            </w:pPr>
            <w:r>
              <w:t>Bezprostredne predchádzajúce účtovné obdobie</w:t>
            </w:r>
          </w:p>
        </w:tc>
      </w:tr>
      <w:tr w:rsidR="00690EC4">
        <w:trPr>
          <w:trHeight w:val="207"/>
          <w:jc w:val="center"/>
        </w:trPr>
        <w:tc>
          <w:tcPr>
            <w:tcW w:w="2463" w:type="pct"/>
            <w:vAlign w:val="center"/>
          </w:tcPr>
          <w:p w:rsidR="00690EC4" w:rsidRDefault="00EE592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:rsidR="00690EC4" w:rsidRDefault="00EE5929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3" w:type="pct"/>
            <w:vAlign w:val="center"/>
          </w:tcPr>
          <w:p w:rsidR="00690EC4" w:rsidRDefault="00EE5929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</w:tr>
    </w:tbl>
    <w:p w:rsidR="00690EC4" w:rsidRDefault="00EE5929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</w:t>
      </w:r>
      <w:r>
        <w:rPr>
          <w:rFonts w:ascii="Arial Narrow" w:hAnsi="Arial Narrow" w:cs="Arial Narrow"/>
          <w:sz w:val="22"/>
          <w:szCs w:val="22"/>
        </w:rPr>
        <w:t xml:space="preserve"> medzi dohodnutou dobou splatnosti záväzkov a závierkovým dňom (§ 12 PU).]</w:t>
      </w:r>
    </w:p>
    <w:p w:rsidR="00690EC4" w:rsidRDefault="00690EC4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690EC4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690EC4" w:rsidRDefault="00690EC4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690EC4" w:rsidRDefault="00690EC4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690EC4" w:rsidRDefault="00EE592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690EC4" w:rsidRDefault="00EE5929">
      <w:pPr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</w:t>
      </w:r>
      <w:r>
        <w:rPr>
          <w:rFonts w:ascii="Arial Narrow" w:hAnsi="Arial Narrow" w:cs="Arial Narrow"/>
          <w:b/>
          <w:sz w:val="22"/>
          <w:szCs w:val="22"/>
        </w:rPr>
        <w:t>ž</w:t>
      </w:r>
      <w:r>
        <w:rPr>
          <w:rFonts w:ascii="Arial Narrow" w:hAnsi="Arial Narrow" w:cs="Arial Narrow"/>
          <w:sz w:val="22"/>
          <w:szCs w:val="22"/>
        </w:rPr>
        <w:t>iadne</w:t>
      </w:r>
    </w:p>
    <w:p w:rsidR="00690EC4" w:rsidRDefault="00690EC4">
      <w:pPr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EE592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žiadne</w:t>
      </w:r>
    </w:p>
    <w:p w:rsidR="00690EC4" w:rsidRDefault="00690EC4">
      <w:pPr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EE592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 xml:space="preserve">, ktoré sa nevykazujú </w:t>
      </w:r>
      <w:r>
        <w:rPr>
          <w:rFonts w:ascii="Arial Narrow" w:hAnsi="Arial Narrow" w:cs="Arial Narrow"/>
          <w:sz w:val="22"/>
          <w:szCs w:val="22"/>
        </w:rPr>
        <w:t>v účtovných výkazoch - napríklad zákonná povinnosť alebo zmluvná povinnosť odobrať určité množstvo produktu, uskutočniť investície a veľké opravy: žiadne</w:t>
      </w:r>
    </w:p>
    <w:p w:rsidR="00690EC4" w:rsidRDefault="00690EC4">
      <w:pPr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EE592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</w:t>
      </w:r>
      <w:r>
        <w:rPr>
          <w:rFonts w:ascii="Arial Narrow" w:hAnsi="Arial Narrow" w:cs="Arial Narrow"/>
          <w:sz w:val="22"/>
          <w:szCs w:val="22"/>
        </w:rPr>
        <w:t>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690EC4">
        <w:trPr>
          <w:trHeight w:val="780"/>
          <w:jc w:val="center"/>
        </w:trPr>
        <w:tc>
          <w:tcPr>
            <w:tcW w:w="0" w:type="auto"/>
            <w:noWrap/>
            <w:vAlign w:val="center"/>
          </w:tcPr>
          <w:p w:rsidR="00690EC4" w:rsidRDefault="00EE5929">
            <w:pPr>
              <w:pStyle w:val="TopHeader"/>
            </w:pPr>
            <w:r>
              <w:lastRenderedPageBreak/>
              <w:t>Názov podsúvahovej položky</w:t>
            </w:r>
          </w:p>
        </w:tc>
        <w:tc>
          <w:tcPr>
            <w:tcW w:w="1701" w:type="dxa"/>
            <w:noWrap/>
            <w:vAlign w:val="center"/>
          </w:tcPr>
          <w:p w:rsidR="00690EC4" w:rsidRDefault="00EE5929">
            <w:pPr>
              <w:pStyle w:val="TopHeader"/>
            </w:pPr>
            <w:r>
              <w:t>Bežné účtovné obdobie</w:t>
            </w:r>
          </w:p>
        </w:tc>
        <w:tc>
          <w:tcPr>
            <w:tcW w:w="1593" w:type="dxa"/>
            <w:vAlign w:val="center"/>
          </w:tcPr>
          <w:p w:rsidR="00690EC4" w:rsidRDefault="00EE5929">
            <w:pPr>
              <w:pStyle w:val="TopHeader"/>
            </w:pPr>
            <w:r>
              <w:t>Bezprostredne predchádzajúce účtovné obdobie</w:t>
            </w:r>
          </w:p>
        </w:tc>
      </w:tr>
      <w:tr w:rsidR="00690EC4">
        <w:trPr>
          <w:trHeight w:val="267"/>
          <w:jc w:val="center"/>
        </w:trPr>
        <w:tc>
          <w:tcPr>
            <w:tcW w:w="0" w:type="auto"/>
            <w:noWrap/>
            <w:vAlign w:val="center"/>
          </w:tcPr>
          <w:p w:rsidR="00690EC4" w:rsidRDefault="00EE592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</w:tcPr>
          <w:p w:rsidR="00690EC4" w:rsidRDefault="00EE592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690EC4" w:rsidRDefault="00EE592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690EC4">
        <w:trPr>
          <w:trHeight w:val="144"/>
          <w:jc w:val="center"/>
        </w:trPr>
        <w:tc>
          <w:tcPr>
            <w:tcW w:w="0" w:type="auto"/>
            <w:noWrap/>
            <w:vAlign w:val="center"/>
          </w:tcPr>
          <w:p w:rsidR="00690EC4" w:rsidRDefault="00EE592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</w:tcPr>
          <w:p w:rsidR="00690EC4" w:rsidRDefault="00EE592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690EC4" w:rsidRDefault="00EE592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690EC4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690EC4" w:rsidRDefault="00EE592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Pohľadávky z opcií</w:t>
            </w:r>
          </w:p>
        </w:tc>
        <w:tc>
          <w:tcPr>
            <w:tcW w:w="1701" w:type="dxa"/>
            <w:noWrap/>
            <w:vAlign w:val="center"/>
          </w:tcPr>
          <w:p w:rsidR="00690EC4" w:rsidRDefault="00EE592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690EC4" w:rsidRDefault="00EE592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690EC4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690EC4" w:rsidRDefault="00EE592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Záväzky z opcií</w:t>
            </w:r>
          </w:p>
        </w:tc>
        <w:tc>
          <w:tcPr>
            <w:tcW w:w="1701" w:type="dxa"/>
            <w:noWrap/>
            <w:vAlign w:val="center"/>
          </w:tcPr>
          <w:p w:rsidR="00690EC4" w:rsidRDefault="00690EC4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690EC4" w:rsidRDefault="00690EC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90EC4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690EC4" w:rsidRDefault="00EE592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:rsidR="00690EC4" w:rsidRDefault="00690EC4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690EC4" w:rsidRDefault="00690EC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90EC4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690EC4" w:rsidRDefault="00EE592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Iné </w:t>
            </w:r>
            <w:r>
              <w:rPr>
                <w:rFonts w:ascii="Arial Narrow" w:hAnsi="Arial Narrow"/>
                <w:sz w:val="22"/>
                <w:szCs w:val="22"/>
              </w:rPr>
              <w:t>............................</w:t>
            </w:r>
          </w:p>
        </w:tc>
        <w:tc>
          <w:tcPr>
            <w:tcW w:w="1701" w:type="dxa"/>
            <w:noWrap/>
            <w:vAlign w:val="center"/>
          </w:tcPr>
          <w:p w:rsidR="00690EC4" w:rsidRDefault="00690EC4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690EC4" w:rsidRDefault="00690EC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690EC4" w:rsidRDefault="00690EC4">
      <w:pPr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690EC4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90EC4" w:rsidRDefault="00EE592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:rsidR="00690EC4" w:rsidRDefault="00EE592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690EC4" w:rsidRDefault="00690EC4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90EC4" w:rsidRDefault="00EE592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prehlasuje, že si nie je vedomá, že by po závierkovom dni do času zostavenia účtovnej závierky nastali významné udalosti, ktoré by mali</w:t>
      </w:r>
      <w:r>
        <w:rPr>
          <w:rFonts w:ascii="Arial Narrow" w:hAnsi="Arial Narrow" w:cs="Arial Narrow"/>
          <w:sz w:val="22"/>
          <w:szCs w:val="22"/>
        </w:rPr>
        <w:t xml:space="preserve"> významný finančný vplyv (t.j. do dňa podpísania výkazov podľa § 17/5 ZoU) a ktoré nie sú zohľadnené v súvahe alebo vo výkaze ziskov a strát.</w:t>
      </w:r>
    </w:p>
    <w:p w:rsidR="00690EC4" w:rsidRDefault="00EE592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Pokles alebo zvýšenie trhovej ceny finančného majetku </w:t>
      </w:r>
    </w:p>
    <w:p w:rsidR="00690EC4" w:rsidRDefault="00EE592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Dôvody pre zmenu výšky rezerv a opravných položiek, </w:t>
      </w:r>
    </w:p>
    <w:p w:rsidR="00690EC4" w:rsidRDefault="00EE592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:rsidR="00690EC4" w:rsidRDefault="00EE592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:rsidR="00690EC4" w:rsidRDefault="00EE592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:rsidR="00690EC4" w:rsidRDefault="00EE592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f) Začatie alebo ukončenie činnosti časti účtovnej jednotky, napríklad odštepného závod</w:t>
      </w:r>
      <w:r>
        <w:rPr>
          <w:rFonts w:ascii="Arial Narrow" w:hAnsi="Arial Narrow" w:cs="Arial Narrow"/>
          <w:sz w:val="22"/>
          <w:szCs w:val="22"/>
        </w:rPr>
        <w:t xml:space="preserve">u, organizačnej zložky, prevádzkarne: </w:t>
      </w:r>
    </w:p>
    <w:p w:rsidR="00690EC4" w:rsidRDefault="00EE592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:rsidR="00690EC4" w:rsidRDefault="00EE592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:rsidR="00690EC4" w:rsidRDefault="00EE592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:rsidR="00690EC4" w:rsidRDefault="00EE592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j)</w:t>
      </w:r>
      <w:r>
        <w:rPr>
          <w:rFonts w:ascii="Arial Narrow" w:hAnsi="Arial Narrow" w:cs="Arial Narrow"/>
          <w:sz w:val="22"/>
          <w:szCs w:val="22"/>
        </w:rPr>
        <w:t xml:space="preserve"> Získanie alebo odobratie licencií alebo iných povolení významných pre činnosť účtovnej jednotky:</w:t>
      </w:r>
    </w:p>
    <w:p w:rsidR="00690EC4" w:rsidRDefault="00690EC4">
      <w:pPr>
        <w:jc w:val="both"/>
        <w:rPr>
          <w:rFonts w:ascii="Arial Narrow" w:hAnsi="Arial Narrow" w:cs="Arial Narrow"/>
          <w:sz w:val="22"/>
          <w:szCs w:val="22"/>
        </w:rPr>
      </w:pPr>
    </w:p>
    <w:p w:rsidR="00690EC4" w:rsidRDefault="00690EC4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90EC4" w:rsidRDefault="00EE592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:rsidR="00690EC4" w:rsidRDefault="00690EC4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690EC4" w:rsidRDefault="00EE592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 Informácie o výlučnom práve poskytovať služby vo verejnom záujme: NIE</w:t>
      </w:r>
    </w:p>
    <w:p w:rsidR="00690EC4" w:rsidRDefault="00EE592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2) Informácie o osobitnej kategórii priemyselnej v</w:t>
      </w:r>
      <w:r>
        <w:rPr>
          <w:rFonts w:ascii="Arial Narrow" w:hAnsi="Arial Narrow" w:cs="Arial Narrow"/>
          <w:bCs/>
          <w:sz w:val="22"/>
          <w:szCs w:val="22"/>
        </w:rPr>
        <w:t>ýroby (§ 23d/6 ZoU): NIE</w:t>
      </w:r>
    </w:p>
    <w:p w:rsidR="00690EC4" w:rsidRDefault="00EE592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 NIE</w:t>
      </w:r>
    </w:p>
    <w:sectPr w:rsidR="00690EC4">
      <w:headerReference w:type="default" r:id="rId8"/>
      <w:footerReference w:type="default" r:id="rId9"/>
      <w:headerReference w:type="first" r:id="rId10"/>
      <w:pgSz w:w="11907" w:h="16840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E5929">
      <w:r>
        <w:separator/>
      </w:r>
    </w:p>
  </w:endnote>
  <w:endnote w:type="continuationSeparator" w:id="0">
    <w:p w:rsidR="00000000" w:rsidRDefault="00EE5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EC4" w:rsidRDefault="00EE5929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690EC4" w:rsidRDefault="00690EC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E5929">
      <w:r>
        <w:separator/>
      </w:r>
    </w:p>
  </w:footnote>
  <w:footnote w:type="continuationSeparator" w:id="0">
    <w:p w:rsidR="00000000" w:rsidRDefault="00EE59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EC4" w:rsidRDefault="00EE5929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lang w:val="sk-SK"/>
      </w:rPr>
    </w:pPr>
    <w:r>
      <w:rPr>
        <w:rFonts w:ascii="Arial" w:hAnsi="Arial" w:cs="Arial"/>
        <w:sz w:val="22"/>
        <w:szCs w:val="22"/>
        <w:bdr w:val="single" w:sz="4" w:space="0" w:color="auto"/>
        <w:lang w:val="sk-SK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/>
        <w:lang w:val="sk-SK"/>
      </w:rPr>
      <w:t>z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/>
        <w:lang w:val="sk-SK"/>
      </w:rPr>
      <w:t>á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/>
        <w:lang w:val="sk-SK"/>
      </w:rPr>
      <w:t>k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/>
        <w:lang w:val="sk-SK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  <w:lang w:val="sk-SK"/>
      </w:rPr>
      <w:t>Ú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48248177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2120133994</w:t>
    </w:r>
  </w:p>
  <w:p w:rsidR="00690EC4" w:rsidRDefault="00690EC4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690EC4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690EC4" w:rsidRDefault="00EE5929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690EC4" w:rsidRDefault="00690EC4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690EC4" w:rsidRDefault="00EE5929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90EC4" w:rsidRDefault="00EE5929">
          <w:pPr>
            <w:jc w:val="center"/>
            <w:rPr>
              <w:szCs w:val="22"/>
            </w:rPr>
          </w:pPr>
          <w:r>
            <w:rPr>
              <w:szCs w:val="22"/>
            </w:rPr>
            <w:t> 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90EC4" w:rsidRDefault="00EE5929">
          <w:pPr>
            <w:jc w:val="center"/>
            <w:rPr>
              <w:szCs w:val="22"/>
            </w:rPr>
          </w:pPr>
          <w:r>
            <w:rPr>
              <w:szCs w:val="22"/>
            </w:rPr>
            <w:t>2 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90EC4" w:rsidRDefault="00EE5929">
          <w:pPr>
            <w:jc w:val="center"/>
            <w:rPr>
              <w:szCs w:val="22"/>
            </w:rPr>
          </w:pPr>
          <w:r>
            <w:rPr>
              <w:szCs w:val="22"/>
            </w:rPr>
            <w:t>3 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90EC4" w:rsidRDefault="00EE5929">
          <w:pPr>
            <w:jc w:val="center"/>
            <w:rPr>
              <w:szCs w:val="22"/>
            </w:rPr>
          </w:pPr>
          <w:r>
            <w:rPr>
              <w:szCs w:val="22"/>
            </w:rPr>
            <w:t>4 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90EC4" w:rsidRDefault="00EE5929">
          <w:pPr>
            <w:jc w:val="center"/>
            <w:rPr>
              <w:szCs w:val="22"/>
            </w:rPr>
          </w:pPr>
          <w:r>
            <w:rPr>
              <w:szCs w:val="22"/>
            </w:rPr>
            <w:t>5 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90EC4" w:rsidRDefault="00EE5929">
          <w:pPr>
            <w:jc w:val="center"/>
            <w:rPr>
              <w:szCs w:val="22"/>
            </w:rPr>
          </w:pPr>
          <w:r>
            <w:rPr>
              <w:szCs w:val="22"/>
            </w:rPr>
            <w:t>6 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90EC4" w:rsidRDefault="00EE5929">
          <w:pPr>
            <w:jc w:val="center"/>
            <w:rPr>
              <w:szCs w:val="22"/>
            </w:rPr>
          </w:pPr>
          <w:r>
            <w:rPr>
              <w:szCs w:val="22"/>
            </w:rPr>
            <w:t>7 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90EC4" w:rsidRDefault="00EE5929">
          <w:pPr>
            <w:jc w:val="center"/>
            <w:rPr>
              <w:szCs w:val="22"/>
            </w:rPr>
          </w:pPr>
          <w:r>
            <w:rPr>
              <w:szCs w:val="22"/>
            </w:rPr>
            <w:t>8 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90EC4" w:rsidRDefault="00EE5929">
          <w:pPr>
            <w:jc w:val="center"/>
            <w:rPr>
              <w:szCs w:val="22"/>
            </w:rPr>
          </w:pPr>
          <w:r>
            <w:rPr>
              <w:szCs w:val="22"/>
            </w:rPr>
            <w:t>9 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90EC4" w:rsidRDefault="00EE5929">
          <w:pPr>
            <w:jc w:val="center"/>
            <w:rPr>
              <w:szCs w:val="22"/>
            </w:rPr>
          </w:pPr>
          <w:r>
            <w:rPr>
              <w:szCs w:val="22"/>
            </w:rPr>
            <w:t>0 </w:t>
          </w:r>
        </w:p>
      </w:tc>
    </w:tr>
  </w:tbl>
  <w:p w:rsidR="00690EC4" w:rsidRDefault="00690EC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97DE9"/>
    <w:multiLevelType w:val="multilevel"/>
    <w:tmpl w:val="1E597DE9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891FC1"/>
    <w:multiLevelType w:val="multilevel"/>
    <w:tmpl w:val="26891FC1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7487002"/>
    <w:multiLevelType w:val="multilevel"/>
    <w:tmpl w:val="67487002"/>
    <w:lvl w:ilvl="0">
      <w:start w:val="1"/>
      <w:numFmt w:val="decimal"/>
      <w:pStyle w:val="Nadpis1"/>
      <w:lvlText w:val="§ %1"/>
      <w:lvlJc w:val="center"/>
      <w:pPr>
        <w:tabs>
          <w:tab w:val="left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(%7)"/>
      <w:lvlJc w:val="left"/>
      <w:pPr>
        <w:tabs>
          <w:tab w:val="left" w:pos="5070"/>
        </w:tabs>
        <w:ind w:left="5070" w:hanging="39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 w15:restartNumberingAfterBreak="0">
    <w:nsid w:val="79FF7CE9"/>
    <w:multiLevelType w:val="multilevel"/>
    <w:tmpl w:val="79FF7CE9"/>
    <w:lvl w:ilvl="0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b w:val="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1D"/>
    <w:rsid w:val="00000C65"/>
    <w:rsid w:val="000104C1"/>
    <w:rsid w:val="0001285A"/>
    <w:rsid w:val="00024CC8"/>
    <w:rsid w:val="00025F23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67688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1F1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3E5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5753"/>
    <w:rsid w:val="003E7344"/>
    <w:rsid w:val="003F0D89"/>
    <w:rsid w:val="00400EF7"/>
    <w:rsid w:val="00406D81"/>
    <w:rsid w:val="004109D3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2136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513E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1114"/>
    <w:rsid w:val="00642FD8"/>
    <w:rsid w:val="00651F5C"/>
    <w:rsid w:val="00660F06"/>
    <w:rsid w:val="00661CE7"/>
    <w:rsid w:val="00671EEA"/>
    <w:rsid w:val="0067616D"/>
    <w:rsid w:val="006761B2"/>
    <w:rsid w:val="006767A9"/>
    <w:rsid w:val="00683790"/>
    <w:rsid w:val="00684913"/>
    <w:rsid w:val="00684E4D"/>
    <w:rsid w:val="00690EC4"/>
    <w:rsid w:val="00697203"/>
    <w:rsid w:val="006A00C7"/>
    <w:rsid w:val="006A0CA6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4165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B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14FC6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5DD7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D7E50"/>
    <w:rsid w:val="009E2859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1358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87EA3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211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08B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50BF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E5929"/>
    <w:rsid w:val="00EF4F08"/>
    <w:rsid w:val="00EF6062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  <w:rsid w:val="0F687361"/>
    <w:rsid w:val="4C74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A2F1D69-22CC-4C8A-B11B-FF5D7AB7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semiHidden="1"/>
    <w:lsdException w:name="footer" w:uiPriority="99"/>
    <w:lsdException w:name="caption" w:locked="1" w:semiHidden="1" w:unhideWhenUsed="1" w:qFormat="1"/>
    <w:lsdException w:name="footnote reference" w:semiHidden="1" w:qFormat="1"/>
    <w:lsdException w:name="page number" w:qFormat="1"/>
    <w:lsdException w:name="Title" w:uiPriority="99" w:qFormat="1"/>
    <w:lsdException w:name="Default Paragraph Font" w:semiHidden="1" w:uiPriority="1" w:unhideWhenUsed="1"/>
    <w:lsdException w:name="Body Text" w:uiPriority="1" w:unhideWhenUsed="1" w:qFormat="1"/>
    <w:lsdException w:name="Subtitle" w:locked="1" w:qFormat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zh-CN"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qFormat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pPr>
      <w:widowControl w:val="0"/>
      <w:ind w:left="668" w:hanging="567"/>
    </w:pPr>
    <w:rPr>
      <w:lang w:val="en-US" w:eastAsia="en-US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  <w:rPr>
      <w:lang w:val="zh-CN" w:eastAsia="zh-CN"/>
    </w:rPr>
  </w:style>
  <w:style w:type="character" w:styleId="Odkaznapoznmkupodiarou">
    <w:name w:val="footnote reference"/>
    <w:semiHidden/>
    <w:qFormat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rPr>
      <w:sz w:val="20"/>
      <w:szCs w:val="20"/>
      <w:lang w:val="zh-CN" w:eastAsia="zh-CN"/>
    </w:rPr>
  </w:style>
  <w:style w:type="paragraph" w:styleId="Hlavika">
    <w:name w:val="header"/>
    <w:basedOn w:val="Normlny"/>
    <w:link w:val="HlavikaChar"/>
    <w:pPr>
      <w:tabs>
        <w:tab w:val="center" w:pos="4703"/>
        <w:tab w:val="right" w:pos="9406"/>
      </w:tabs>
    </w:pPr>
  </w:style>
  <w:style w:type="character" w:styleId="slostrany">
    <w:name w:val="page number"/>
    <w:basedOn w:val="Predvolenpsmoodseku"/>
    <w:qFormat/>
  </w:style>
  <w:style w:type="table" w:styleId="Mriekatabuky">
    <w:name w:val="Table Grid"/>
    <w:basedOn w:val="Normlnatabuk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zh-CN"/>
    </w:rPr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qFormat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0">
    <w:name w:val="Základní text"/>
    <w:pPr>
      <w:spacing w:after="240"/>
      <w:jc w:val="both"/>
    </w:pPr>
    <w:rPr>
      <w:color w:val="000000"/>
      <w:sz w:val="24"/>
      <w:szCs w:val="24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customStyle="1" w:styleId="NzovChar">
    <w:name w:val="Názov Char"/>
    <w:link w:val="Nzov"/>
    <w:uiPriority w:val="99"/>
    <w:locked/>
    <w:rPr>
      <w:rFonts w:ascii="Arial Narrow" w:hAnsi="Arial Narrow" w:cs="Arial Narrow"/>
      <w:b/>
      <w:bCs/>
      <w:kern w:val="28"/>
      <w:sz w:val="32"/>
      <w:szCs w:val="32"/>
      <w:lang w:val="sk-SK" w:eastAsia="zh-CN"/>
    </w:rPr>
  </w:style>
  <w:style w:type="paragraph" w:customStyle="1" w:styleId="TopHeader">
    <w:name w:val="Top Header"/>
    <w:basedOn w:val="Normlny"/>
    <w:qFormat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HlavikaChar">
    <w:name w:val="Hlavička Char"/>
    <w:link w:val="Hlavika"/>
    <w:locked/>
    <w:rPr>
      <w:sz w:val="24"/>
      <w:szCs w:val="24"/>
      <w:lang w:val="sk-SK" w:eastAsia="sk-SK"/>
    </w:rPr>
  </w:style>
  <w:style w:type="character" w:customStyle="1" w:styleId="ZkladntextChar">
    <w:name w:val="Základný text Char"/>
    <w:link w:val="Zkladntext"/>
    <w:uiPriority w:val="1"/>
    <w:rPr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xtbublinyChar">
    <w:name w:val="Text bubliny Char"/>
    <w:basedOn w:val="Predvolenpsmoodseku"/>
    <w:link w:val="Textbubliny"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35DBC-A11B-4F3A-A179-4801AAA6B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1634</Words>
  <Characters>10131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asistent2</cp:lastModifiedBy>
  <cp:revision>2</cp:revision>
  <cp:lastPrinted>2018-02-24T14:14:00Z</cp:lastPrinted>
  <dcterms:created xsi:type="dcterms:W3CDTF">2024-02-12T07:32:00Z</dcterms:created>
  <dcterms:modified xsi:type="dcterms:W3CDTF">2024-02-12T07:32:00Z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8DFC679806434AEDB22053842CF3DB59</vt:lpwstr>
  </property>
</Properties>
</file>