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20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</w:pPr>
      <w:bookmarkStart w:name="_GoBack" w:id="0"/>
      <w:bookmarkEnd w:id="0"/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  <w:t>POZNÁMKY</w:t>
      </w:r>
    </w:p>
    <w:p>
      <w:pPr>
        <w:ind w:left="360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účtovnej závierky zostavenej</w:t>
      </w:r>
    </w:p>
    <w:p>
      <w:pPr>
        <w:spacing w:after="6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 xml:space="preserve">k  31.12.2023</w:t>
      </w:r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Mriekatabuky"/>
        <w:tblW w:w="92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>
        <w:trPr>
          <w:trHeight w:val="284" w:hRule="exact"/>
        </w:trPr>
        <w:tc>
          <w:tcPr>
            <w:tcW w:w="775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2023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2023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c>
          <w:tcPr>
            <w:tcW w:w="775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 w:val="restart"/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1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2022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2022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425"/>
        <w:gridCol w:w="2092"/>
      </w:tblGrid>
      <w:tr>
        <w:trPr>
          <w:trHeight w:val="284" w:hRule="exact"/>
        </w:trPr>
        <w:tc>
          <w:tcPr>
            <w:tcW w:w="9288" w:type="dxa"/>
            <w:gridSpan w:val="3"/>
          </w:tcPr>
          <w:p>
            <w:pPr>
              <w:spacing w:before="60" w:line="276" w:lineRule="auto"/>
              <w:ind w:left="6379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X</w:t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54744890</w:t>
            </w:r>
          </w:p>
        </w:tc>
        <w:tc>
          <w:tcPr>
            <w:tcW w:w="108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2121774116</w:t>
            </w:r>
          </w:p>
        </w:tc>
        <w:tc>
          <w:tcPr>
            <w:tcW w:w="140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  <w:tc>
          <w:tcPr>
            <w:tcW w:w="1580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ToJo Trans s.ro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MS Mincho" w:cs="FuturaTEE-Book" w:asciiTheme="minorHAnsi" w:hAnsiTheme="minorHAnsi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Povstalecká 277/29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1310"/>
        <w:gridCol w:w="249"/>
        <w:gridCol w:w="6985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Názov obce</w:t>
            </w:r>
          </w:p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05971</w:t>
            </w:r>
          </w:p>
        </w:tc>
        <w:tc>
          <w:tcPr>
            <w:tcW w:w="249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Ľubica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  <w:tc>
          <w:tcPr>
            <w:tcW w:w="106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  <w:tc>
          <w:tcPr>
            <w:tcW w:w="84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660"/>
        <w:gridCol w:w="2550"/>
        <w:gridCol w:w="2126"/>
        <w:gridCol w:w="1950"/>
      </w:tblGrid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štatutárneho orgánu alebo člena 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vedenie účtovníctva</w:t>
            </w: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>16.02.2024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1146810</wp:posOffset>
                </wp:positionH>
                <wp:positionV relativeFrom="paragraph">
                  <wp:posOffset>147320</wp:posOffset>
                </wp:positionV>
                <wp:extent cx="151130" cy="151130"/>
                <wp:effectExtent l="9525" t="7620" r="10795" b="1270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    <v:textbox inset="0,0,1.5mm">
                  <w:txbxContent>
                    <w:p w:rsidRPr="007C40F2" w:rsidR="00A2118A" w:rsidP="00EA1D82" w:rsidRDefault="00A2118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left="360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t xml:space="preserve">*) Vyznačuje sa                     </w:t>
      </w:r>
    </w:p>
    <w:p>
      <w:pPr>
        <w:spacing w:before="60" w:line="276" w:lineRule="auto"/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spacing w:after="200" w:line="276" w:lineRule="auto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br w:type="page"/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lastRenderedPageBreak/>
        <w:t>A. Všeobecné informácie o obchodníkovi s cennými papiermi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Popis činností obchodníka s cennými papiermi, určenie jeho základných činností a určenie zemepisných oblastí, v ktorých obchodník s cennými papiermi vykonáva svoje činnosti.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3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2. Obchodné meno priamej materskej účtovnej jednotky a obchodné meno materskej účtovnej jednotky celej skupiny.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2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t>B.  Použité účtovné zásady a účtovné metódy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 Informácia o tom, či účtovná závierka bola zostavená na základe predpokladu ďalšieho nepretržitého trvania obchodníka s cennými papiermi; ak nebola zostavená na  základe tohto predpokladu, ktoré skutočnosti k tomu vedenie obchodníka s cennými papiermi viedli, prípadne ak bola účtovná závierka zostavená na základe predpokladu ďalšieho nepretržitého trvania obchodníka s cennými papiermi, ale obchodník s cennými papiermi je vystavený významným neistotám v súvislosti s jeho činnosťou, a to takým neistotám, že vedenie obchodníka s cennými papiermi má významné pochybnosti o schopnosti obchodníka s cennými papiermi naďalej nepretržite trvať, tieto neistoty sa uvedú.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01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2. Účtovné zásady a účtovné metódy použité pri zostavovaní účtovnej závierky.   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39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3. Informácie o použití nových účtovných zásad a nových účtovných metód v porovnaní s  predchádzajúcim účtovným obdobím a o dôvodoch ich použitia a ich vplyve na výsledok hospodárenia a vlastné imanie obchodníka s cennými papiermi.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9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4. Popis spôsobov oceňovania majetku a záväzkov, metódach použitých pri určení reálnych hodnôt majetku a záväzkov, cudzích menách a kurzoch použitých na prepočet cudzej meny na eurá.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6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5. Určenie dňa uskutočnenia účtovného prípadu, napríklad pri účtovaní cenných papierov a derivátov, či sa účtuje v deň dohodnutia obchodu alebo v deň vyrovnania obchodu.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23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lastRenderedPageBreak/>
        <w:t>6. Postupy odpisovania hmotného majetku alebo nehmotného majetku.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04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7. Zásady a postupy identifikácie majetku so zníženou hodnotou.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8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8. Zásady a postupy výpočtu výšky tvorby opravných položiek a rezerv.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9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 xml:space="preserve"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autoSpaceDE w:val="0"/>
        <w:autoSpaceDN w:val="0"/>
        <w:adjustRightInd w:val="0"/>
        <w:jc w:val="both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10490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670"/>
        <w:gridCol w:w="2410"/>
        <w:gridCol w:w="2410"/>
      </w:tblGrid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C. Prehľad o peňažných tokoch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 usporiadacích účtov obchodovania s finančnými nástrojmi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za predané finančné nástroje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analytických účtov prvotného zaúčtovania účtov finančných nástrojov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 z odpísaných pohľadávok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zamestnancov a dodávateľov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voči zamestnancom a dodávateľom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976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krátkodobých pôžičiek klientom (+/-) na analytických účtoch prvotného zaúčtovania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prevádzkových záväzkov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vkladov klientov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záväzkov voči dodávateľom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 pred zdanením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Zaplatená daň z príjmov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382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38877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predaja a likvidácie dlhodobého majetku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dividendy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úrokov z vkladov a úverov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Príjmy z predaja finančných nástrojov držaných na predaj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Nákup finančných nástrojov držaných na predaj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Zníženie/ zvýšenie poskytnutých úverov a vkladov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vlastného imania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9000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5000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prijatých dlhodobých úverov a finančného nájmu(+/-)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 z dlhodobých úverov a finančného nájmu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 z dlhodobých úverov a finančného nájmu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D. Prehľad o zmenách vo vlastnom imaní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/>
        </w:rPr>
        <w:t xml:space="preserve">   </w:t>
      </w:r>
    </w:p>
    <w:tbl>
      <w:tblPr>
        <w:tblW w:w="10490" w:type="dxa"/>
        <w:tblInd w:w="-4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7"/>
        <w:gridCol w:w="1200"/>
        <w:gridCol w:w="1276"/>
        <w:gridCol w:w="1275"/>
        <w:gridCol w:w="1276"/>
        <w:gridCol w:w="1276"/>
      </w:tblGrid>
      <w:tr>
        <w:trPr>
          <w:trHeight w:val="538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>
        <w:trPr>
          <w:trHeight w:val="295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2548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2548.00</w:t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účtovnej politike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Upravený stav k poslednému dňu predchádzajúceho účtovného obdobia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Oceňovacie rozdiely z ocenenia cenných papierov na predaj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oceňovacie rozdiely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Daň účtovaná na položky vlastného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Zisk/strata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Zvýšenie/zníženie akciového kapitálu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  <w:lang w:val="en-US"/>
        </w:rPr>
      </w:pPr>
    </w:p>
    <w:p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978"/>
        <w:gridCol w:w="1559"/>
        <w:gridCol w:w="1843"/>
      </w:tblGrid>
      <w:tr>
        <w:trPr>
          <w:trHeight w:val="538"/>
          <w:tblHeader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>
        <w:trPr>
          <w:trHeight w:val="295"/>
          <w:tblHeader/>
        </w:trPr>
        <w:tc>
          <w:tcPr>
            <w:tcW w:w="7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Peňažné prostriedky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finančné nástroje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Pohľadávky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lastRenderedPageBreak/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peňažných prostriedkov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zo správy a uloženia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F. Poznámky k položkám súvahy a k položkám výkazu ziskov a strát.</w:t>
      </w: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 xml:space="preserve">Súvaha </w:t>
      </w:r>
    </w:p>
    <w:p>
      <w:pPr>
        <w:numPr>
          <w:ilvl w:val="0"/>
          <w:numId w:val="3"/>
        </w:numPr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Aktíva</w:t>
      </w:r>
    </w:p>
    <w:p>
      <w:pPr>
        <w:ind w:left="72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9"/>
        <w:gridCol w:w="3510"/>
        <w:gridCol w:w="2552"/>
        <w:gridCol w:w="2409"/>
      </w:tblGrid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Peňažné prostriedky a ekvivalenty peňažných prostriedkov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Peňažné prostriedky v pokladni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4967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4574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12421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2614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Poskytnuté úvery splatné na požiadanie a do 24 hodín a vklady splatné do 24 h.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peňažné prostriedky v rámci spotových operácií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Cenné papiere peňažného trhu s dohodnutou dobou splatnosti najviac tri mesiace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 xml:space="preserve">17388.00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 xml:space="preserve">7188.00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 linky na okamžité čerpanie peňažných prostriedkov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17388.00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7188.00</w:t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peňažné prostriedky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</w:t>
      </w:r>
      <w:r>
        <w:rPr>
          <w:rFonts w:ascii="Arial Narrow CE" w:hAnsi="Arial Narrow CE" w:eastAsia="MS Mincho" w:cs="Arial"/>
          <w:noProof/>
          <w:sz w:val="20"/>
          <w:lang w:val="en-US"/>
        </w:rPr>
        <w:t>a ekvivalenty peňažných prostriedkov v cudzej mene, vypracuje sa tabuľka pre každú menu vrátane meny euro, a označí sa číslom 1, s pripojeným označením príslušnej meny, napríklad 1. EUR, 1.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2.a).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klientom z poskytnutých služieb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Investičné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Vedľajšie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dlhopisy,  napríklad pokladničné poukážky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číslom 3, s pripojeným označením príslušnej meny, napríklad 3. EUR, 3.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zostatkom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 napríklad. pokladničné poukážky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 číslom 5, s pripojeným označením príslušnej meny, napríklad 5. EUR, 5.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Pohľadávky voči bankám ostatné krátkodobé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voči bankám v cudzej mene, vypracuje sa tabuľka ku každej tabuľke k riadku 7 podľa jednotlivých mien, ktorá sa označí označením príslušnej tabuľky s pripojením označenia meny, napríklad 7.c).I.USD.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2552"/>
        <w:gridCol w:w="2409"/>
      </w:tblGrid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úvery podľa 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z úverov v cudzej mene, vypracuje sa tabuľka ku každej tabuľke k riadku 8 podľa jednotlivých  mien, ktoré sa označia označením príslušnej tabuľky s pripojením označenia meny, napríklad 8.c).I.USD.</w:t>
      </w:r>
    </w:p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 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38877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3620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12421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2614</w:t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splatné na požiadanie – rozpis podľa mien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 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5.II.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Deriváty s pasívnym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vedľajších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 a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Čistá strata zo zníženia hodnoty finančného majetku/čistý zisk zo zrušenia zníženia hodnoty finančného majetku a z úhrady odpísaných pohľadávok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začiatku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Zrušenie zníženia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 zníženie hodnoty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600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zložka miezd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164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starostlivosť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764.00</w:t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Údržba nehnuteľností a zariadení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 z pridanej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Miestne dane a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G. Ostatné poznámky</w:t>
      </w: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Údaje o vzťahoch so spriaznenými osobami.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369"/>
        <w:gridCol w:w="2552"/>
        <w:gridCol w:w="2551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úč. j. a pridružených úč. j.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55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dcérskych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pridružených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Finančné vzťahy so  spriaznenými osobami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d).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dňom, ku ktorému sa zostavuje účtovná závierka a dňom zostavenia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37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účtovných období,  ktoré  majú   taký  podstatný vplyv na účtovnú závierku jedného alebo  viacerých   predchádzajúcich účtovných období, že by tieto účtovné závierky nepodávali verný a pravdivý obraz  o  predmete  účtovníctva  obchodníka s cennými papiermi; v tomto prípade sa uvádza vplyv týchto zmien na vlastné imanie ku dňu, ku ktorému sa zostavuje účtovná závierka.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84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4.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návrh na rozdelenie zisku  bežného účtovného obdobia.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31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5.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priemerný počet zamestnancov v  účtovnom období, pričom priemerný počet zamestnancov sa vypočíta ako priemer koncových stavov v jednotlivých štvrťrokoch v účtovnom období; počet členov štatutárnych orgánov, riadiacich orgánov, dozorných orgánov, prípadne iných orgánov.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03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6.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náklady alebo výnosy, ktoré majú vplyv na splatnú daň z príjmov za prechádzajúce účtovné  obdobie.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29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7.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zamestnaneckých požitkoch, na základe ktorých majú zamestnanci nárok na finančné nástroje vydané obchodníkom s cennými papiermi viazané na vlastné imanie alebo podľa  ktorých výška záväzkov obchodníka s cennými papiermi voči zamestnancom je závislá na budúcej cene finančných nástrojov, napríklad obchodníkom s cennými papiermi vydané akcie alebo opcie na akcie.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50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8.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výnos na akciu.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075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9.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 úverovom riziku, a to:</w:t>
      </w:r>
    </w:p>
    <w:p>
      <w:pPr>
        <w:ind w:left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použitých spôsoboch a postupoch úverového hodnotenia dlžníka vrátane vysvetlenia obsahu jednotlivých hodnotiacich stupňov,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popis pohľadávok, ktorých ocenenie sa upravuje skupinovo,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popis spôsobov a nástrojov znižovania úverového rizika,</w:t>
      </w:r>
      <w:r>
        <w:rPr>
          <w:rFonts w:ascii="Arial Narrow CE" w:hAnsi="Arial Narrow CE" w:cs="Arial"/>
          <w:noProof/>
          <w:sz w:val="20"/>
          <w:lang w:val="en-US" w:eastAsia="sk-SK"/>
        </w:rPr>
        <w:tab/>
        <w:t xml:space="preserve"> 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d) popis významných koncentrácií úverového rizika a popis spôsobov a postupov používaných pre zabezpečenie obchodníkom s cennými papiermi akceptovanej koncentrácie úverového rizika,        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992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10.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trhovom riziku, a to: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 o používaní nových finančných nástrojov,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 o spôsoboch a postupoch používaných na meranie, sledovanie a riadenie trhového rizika,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c) o spôsoboch  zabezpečenia sa proti nepriaznivému vplyvu zmien trhových úrokových mier,  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o citlivosti majetku a záväzkov na zmeny úrokových mier,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e) o spôsoboch a postupoch merania úrokového rizika, </w:t>
      </w:r>
    </w:p>
    <w:p>
      <w:pPr>
        <w:keepNext/>
        <w:ind w:left="567" w:hanging="142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f) rozpis majetku a záväzkov podľa dátumu zmluvnej zmeny úrokovej miery alebo dátumu zostatkovej doby splatnosti v členení  do jedného mesiaca, od jedného mesiaca do troch mesiacov, od troch mesiacov  do jedného roka, od jedného roka  do päť rokov a nad päť rokov.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1223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11.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ostatných druhoch rizík, a to: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spôsoboch a postupoch identifikácie rizík, ktorým je obchodník s cennými papiermi vystavený a </w:t>
      </w:r>
    </w:p>
    <w:p>
      <w:pPr>
        <w:ind w:firstLine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o spôsoboch a postupoch merania, sledovania a riadenia týchto  rizík.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228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802"/>
        <w:gridCol w:w="2835"/>
        <w:gridCol w:w="2943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účtovnej jednotky voči audítorovi za účtovné obdobie</w:t>
            </w:r>
          </w:p>
        </w:tc>
        <w:tc>
          <w:tcPr>
            <w:tcW w:w="283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943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účtovnej závierky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Uisťovacie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Daňové poradenstvo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lastRenderedPageBreak/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prevedené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Dt – strana má dať účtu.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o. – účtovné obdobie.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FN – finančný nástroj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h. – hodina vo všetkých gramatických pádoch aj v množnom čísle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j. – účtovná jednotka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Vysvetlivka: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Určenie časového obdobia v tabuľke, napríklad „do jedného mesiaca“, znamená vrátane posledného dňa obdobia.</w:t>
      </w:r>
    </w:p>
    <w:p>
      <w:pPr>
        <w:rPr>
          <w:rFonts w:ascii="Arial Narrow CE" w:hAnsi="Arial Narrow CE"/>
          <w:noProof/>
          <w:sz w:val="20"/>
          <w:lang w:val="en-US"/>
        </w:rPr>
      </w:pPr>
    </w:p>
    <w:sectPr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3089-EB6F-4403-88E9-FB81130A8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3948</TotalTime>
  <Pages>20</Pages>
  <Words>6281</Words>
  <Characters>35802</Characters>
  <Application>Microsoft Office Word</Application>
  <DocSecurity>0</DocSecurity>
  <Lines>298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Pinteš Marián</cp:lastModifiedBy>
  <cp:revision>30</cp:revision>
  <cp:lastPrinted>2014-04-14T12:41:00Z</cp:lastPrinted>
  <dcterms:created xsi:type="dcterms:W3CDTF">2014-04-18T19:49:00Z</dcterms:created>
  <dcterms:modified xsi:type="dcterms:W3CDTF">2014-04-28T14:03:00Z</dcterms:modified>
</cp:coreProperties>
</file>