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962" w:rsidRDefault="00874231" w:rsidP="00874231">
      <w:pPr>
        <w:jc w:val="center"/>
      </w:pPr>
      <w:r>
        <w:t xml:space="preserve">Príloha k účtovnej </w:t>
      </w:r>
      <w:proofErr w:type="spellStart"/>
      <w:r>
        <w:t>zavierke</w:t>
      </w:r>
      <w:proofErr w:type="spellEnd"/>
      <w:r>
        <w:t xml:space="preserve"> za rok 2023</w:t>
      </w:r>
    </w:p>
    <w:p w:rsidR="00874231" w:rsidRDefault="00874231" w:rsidP="00874231">
      <w:pPr>
        <w:jc w:val="center"/>
      </w:pPr>
    </w:p>
    <w:p w:rsidR="00874231" w:rsidRDefault="00874231" w:rsidP="00874231">
      <w:r>
        <w:t>Firma v roku 2023 nemala žiadne obraty ani výdavky.</w:t>
      </w:r>
    </w:p>
    <w:sectPr w:rsidR="00874231" w:rsidSect="007019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874231"/>
    <w:rsid w:val="00701962"/>
    <w:rsid w:val="00874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19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2024-02-17T09:05:00Z</dcterms:created>
  <dcterms:modified xsi:type="dcterms:W3CDTF">2024-02-17T09:07:00Z</dcterms:modified>
</cp:coreProperties>
</file>