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5D8" w:rsidRDefault="00DB4F7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2B15D8" w:rsidRDefault="00DB4F7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B15D8" w:rsidRDefault="00DB4F7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2B15D8" w:rsidRDefault="002B15D8">
      <w:pPr>
        <w:rPr>
          <w:rFonts w:ascii="Arial Narrow" w:hAnsi="Arial Narrow"/>
          <w:sz w:val="22"/>
          <w:szCs w:val="22"/>
        </w:rPr>
      </w:pPr>
    </w:p>
    <w:p w:rsidR="002B15D8" w:rsidRDefault="00DB4F7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2B15D8" w:rsidRDefault="002B15D8">
      <w:pPr>
        <w:rPr>
          <w:rFonts w:ascii="Arial Narrow" w:hAnsi="Arial Narrow"/>
          <w:sz w:val="22"/>
          <w:szCs w:val="22"/>
        </w:rPr>
      </w:pPr>
    </w:p>
    <w:p w:rsidR="002B15D8" w:rsidRDefault="00DB4F7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2B15D8" w:rsidRDefault="002B15D8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2B15D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Business corp.,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2B15D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2B15D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2B15D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29.07.2006</w:t>
            </w:r>
          </w:p>
        </w:tc>
      </w:tr>
      <w:tr w:rsidR="002B15D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 oblasti podnikania a </w:t>
            </w:r>
            <w:r>
              <w:rPr>
                <w:rFonts w:ascii="Arial Narrow" w:hAnsi="Arial Narrow" w:cs="Arial Narrow"/>
                <w:sz w:val="22"/>
                <w:szCs w:val="22"/>
              </w:rPr>
              <w:t>riadenia</w:t>
            </w:r>
          </w:p>
        </w:tc>
      </w:tr>
      <w:tr w:rsidR="002B15D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2B15D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15D8" w:rsidRDefault="00DB4F74" w:rsidP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2B15D8" w:rsidRDefault="002B15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>
        <w:rPr>
          <w:rFonts w:ascii="Arial Narrow" w:hAnsi="Arial Narrow" w:cs="Arial Narrow"/>
          <w:bCs/>
          <w:sz w:val="22"/>
          <w:szCs w:val="22"/>
          <w:u w:val="single"/>
        </w:rPr>
        <w:t>veľkostnej skupiny účtovnej jednotky (2 ZoU)</w:t>
      </w:r>
    </w:p>
    <w:p w:rsidR="002B15D8" w:rsidRDefault="00DB4F7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</w:t>
      </w:r>
      <w:r>
        <w:rPr>
          <w:rFonts w:ascii="Arial Narrow" w:hAnsi="Arial Narrow" w:cs="Arial Narrow"/>
          <w:bCs/>
          <w:sz w:val="22"/>
          <w:szCs w:val="22"/>
        </w:rPr>
        <w:t xml:space="preserve">tý obrat presiahol 700 000 eur, ale nepresiahol 8 000 000 eur a priemerný prepočítaný počet zamestnancov počas účtovného obdobia presiahol 10, ale nepresiahol 50).  </w:t>
      </w:r>
    </w:p>
    <w:p w:rsidR="002B15D8" w:rsidRDefault="002B15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2B15D8">
        <w:tc>
          <w:tcPr>
            <w:tcW w:w="2197" w:type="dxa"/>
            <w:shd w:val="clear" w:color="auto" w:fill="auto"/>
          </w:tcPr>
          <w:p w:rsidR="002B15D8" w:rsidRDefault="00DB4F7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2B15D8" w:rsidRDefault="00DB4F7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2B15D8" w:rsidRDefault="00DB4F7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2B15D8" w:rsidRDefault="00DB4F7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B4F74">
        <w:tc>
          <w:tcPr>
            <w:tcW w:w="2197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217 375</w:t>
            </w:r>
          </w:p>
        </w:tc>
        <w:tc>
          <w:tcPr>
            <w:tcW w:w="3260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186 476</w:t>
            </w:r>
          </w:p>
        </w:tc>
        <w:tc>
          <w:tcPr>
            <w:tcW w:w="1276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B4F74">
        <w:tc>
          <w:tcPr>
            <w:tcW w:w="2197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256 977</w:t>
            </w:r>
          </w:p>
        </w:tc>
        <w:tc>
          <w:tcPr>
            <w:tcW w:w="3260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262 606</w:t>
            </w:r>
          </w:p>
        </w:tc>
        <w:tc>
          <w:tcPr>
            <w:tcW w:w="1276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B4F74">
        <w:trPr>
          <w:trHeight w:val="101"/>
        </w:trPr>
        <w:tc>
          <w:tcPr>
            <w:tcW w:w="2197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B4F74" w:rsidRDefault="00DB4F74" w:rsidP="00DB4F7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2B15D8" w:rsidRDefault="002B15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</w:t>
      </w:r>
      <w:r>
        <w:rPr>
          <w:rFonts w:ascii="Arial Narrow" w:hAnsi="Arial Narrow" w:cs="Arial Narrow"/>
          <w:sz w:val="22"/>
          <w:szCs w:val="22"/>
        </w:rPr>
        <w:t xml:space="preserve">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2B15D8" w:rsidRDefault="002B15D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02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03</w:t>
      </w:r>
      <w:r>
        <w:rPr>
          <w:rFonts w:ascii="Arial Narrow" w:hAnsi="Arial Narrow" w:cs="Arial Narrow"/>
          <w:sz w:val="22"/>
          <w:szCs w:val="22"/>
        </w:rPr>
        <w:t>.2023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B15D8" w:rsidRDefault="00DB4F7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2B15D8" w:rsidRDefault="002B1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2B15D8" w:rsidRDefault="002B15D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2B15D8" w:rsidRDefault="002B1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2B1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2B15D8">
        <w:trPr>
          <w:trHeight w:val="537"/>
        </w:trPr>
        <w:tc>
          <w:tcPr>
            <w:tcW w:w="2492" w:type="pct"/>
            <w:vAlign w:val="center"/>
          </w:tcPr>
          <w:p w:rsidR="002B15D8" w:rsidRDefault="00DB4F7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2B15D8" w:rsidRDefault="00DB4F7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214" w:type="pct"/>
            <w:vAlign w:val="center"/>
          </w:tcPr>
          <w:p w:rsidR="002B15D8" w:rsidRDefault="00DB4F7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B15D8">
        <w:trPr>
          <w:trHeight w:val="163"/>
        </w:trPr>
        <w:tc>
          <w:tcPr>
            <w:tcW w:w="2492" w:type="pct"/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2B15D8" w:rsidRDefault="00DB4F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2B15D8" w:rsidRDefault="002B15D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2B1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2B15D8" w:rsidRDefault="002B15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B15D8" w:rsidRDefault="00DB4F7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2B15D8" w:rsidRDefault="00DB4F7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2B15D8" w:rsidRDefault="00DB4F7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2B15D8" w:rsidRDefault="00DB4F7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2B15D8" w:rsidRDefault="00DB4F7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2B15D8" w:rsidRDefault="002B15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B15D8" w:rsidRDefault="002B1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nok III – INFORMÁCIE O PRIJATÝCH POSTUPOCH</w:t>
      </w:r>
    </w:p>
    <w:p w:rsidR="002B15D8" w:rsidRDefault="002B15D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2B15D8" w:rsidRDefault="002B15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</w:t>
      </w:r>
      <w:r>
        <w:rPr>
          <w:rFonts w:ascii="Arial Narrow" w:hAnsi="Arial Narrow" w:cs="Arial Narrow"/>
          <w:sz w:val="22"/>
          <w:szCs w:val="22"/>
        </w:rPr>
        <w:t xml:space="preserve">konzistentne. </w:t>
      </w:r>
    </w:p>
    <w:p w:rsidR="002B15D8" w:rsidRDefault="002B15D8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</w:t>
      </w:r>
      <w:r>
        <w:rPr>
          <w:rFonts w:ascii="Arial Narrow" w:hAnsi="Arial Narrow" w:cs="Arial Narrow"/>
          <w:sz w:val="22"/>
          <w:szCs w:val="22"/>
        </w:rPr>
        <w:t xml:space="preserve">kové kombinácie, záväzky investovať, dopad legislatívy, celkový pokles v hospodárskom segmente):    </w:t>
      </w:r>
    </w:p>
    <w:p w:rsidR="002B15D8" w:rsidRDefault="002B15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2B15D8" w:rsidRDefault="00DB4F7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2B15D8" w:rsidRDefault="002B15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B15D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B15D8">
        <w:tc>
          <w:tcPr>
            <w:tcW w:w="706" w:type="dxa"/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B15D8">
        <w:tc>
          <w:tcPr>
            <w:tcW w:w="706" w:type="dxa"/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Prenajatý majetok a majetok obstaraný na základe zmluvy o kúpe prenajatej </w:t>
            </w:r>
            <w:r>
              <w:rPr>
                <w:rFonts w:ascii="Arial Narrow" w:hAnsi="Arial Narrow" w:cs="Arial"/>
                <w:sz w:val="22"/>
                <w:szCs w:val="22"/>
              </w:rPr>
              <w:t>veci:</w:t>
            </w:r>
          </w:p>
        </w:tc>
        <w:tc>
          <w:tcPr>
            <w:tcW w:w="3600" w:type="dxa"/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B15D8">
        <w:tc>
          <w:tcPr>
            <w:tcW w:w="706" w:type="dxa"/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2B15D8" w:rsidRDefault="00DB4F7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2B15D8" w:rsidRDefault="002B15D8">
      <w:pPr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</w:t>
      </w:r>
      <w:r>
        <w:rPr>
          <w:rFonts w:ascii="Arial Narrow" w:hAnsi="Arial Narrow" w:cs="Arial Narrow"/>
          <w:sz w:val="22"/>
          <w:szCs w:val="22"/>
        </w:rPr>
        <w:t xml:space="preserve">lienta. </w:t>
      </w: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</w:t>
      </w:r>
      <w:r>
        <w:rPr>
          <w:rFonts w:ascii="Arial Narrow" w:hAnsi="Arial Narrow" w:cs="Arial Narrow"/>
          <w:sz w:val="22"/>
          <w:szCs w:val="22"/>
        </w:rPr>
        <w:t xml:space="preserve">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2B15D8" w:rsidRDefault="00DB4F74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B15D8" w:rsidRDefault="00DB4F7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</w:t>
      </w:r>
      <w:r>
        <w:rPr>
          <w:rFonts w:ascii="Arial Narrow" w:hAnsi="Arial Narrow" w:cs="Arial Narrow"/>
          <w:sz w:val="22"/>
          <w:szCs w:val="22"/>
        </w:rPr>
        <w:t xml:space="preserve">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B15D8" w:rsidRDefault="002B15D8"/>
    <w:p w:rsidR="002B15D8" w:rsidRDefault="00DB4F7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2B15D8">
        <w:tc>
          <w:tcPr>
            <w:tcW w:w="421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ajetok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2B15D8" w:rsidRDefault="00DB4F7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2B15D8">
        <w:tc>
          <w:tcPr>
            <w:tcW w:w="4218" w:type="dxa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B15D8">
        <w:tc>
          <w:tcPr>
            <w:tcW w:w="4218" w:type="dxa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B15D8">
        <w:tc>
          <w:tcPr>
            <w:tcW w:w="4218" w:type="dxa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2B15D8">
        <w:tc>
          <w:tcPr>
            <w:tcW w:w="4218" w:type="dxa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B15D8">
        <w:tc>
          <w:tcPr>
            <w:tcW w:w="4218" w:type="dxa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2B15D8">
        <w:tc>
          <w:tcPr>
            <w:tcW w:w="4218" w:type="dxa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B15D8">
        <w:tc>
          <w:tcPr>
            <w:tcW w:w="4218" w:type="dxa"/>
          </w:tcPr>
          <w:p w:rsidR="002B15D8" w:rsidRDefault="00DB4F7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2B15D8" w:rsidRDefault="00DB4F7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2B15D8" w:rsidRDefault="00DB4F74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2B15D8" w:rsidRDefault="002B15D8">
      <w:pPr>
        <w:jc w:val="both"/>
        <w:rPr>
          <w:rFonts w:ascii="Arial Narrow" w:hAnsi="Arial Narrow" w:cs="Arial"/>
          <w:sz w:val="22"/>
          <w:szCs w:val="22"/>
        </w:rPr>
      </w:pPr>
    </w:p>
    <w:p w:rsidR="002B15D8" w:rsidRDefault="002B15D8">
      <w:pPr>
        <w:jc w:val="both"/>
        <w:rPr>
          <w:rFonts w:ascii="Arial Narrow" w:hAnsi="Arial Narrow" w:cs="Arial"/>
          <w:sz w:val="22"/>
          <w:szCs w:val="22"/>
        </w:rPr>
      </w:pPr>
    </w:p>
    <w:p w:rsidR="002B15D8" w:rsidRDefault="00DB4F74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2B15D8" w:rsidRDefault="00DB4F7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</w:t>
      </w:r>
      <w:r>
        <w:rPr>
          <w:rFonts w:ascii="Arial Narrow" w:hAnsi="Arial Narrow" w:cs="Arial"/>
          <w:sz w:val="22"/>
          <w:szCs w:val="22"/>
        </w:rPr>
        <w:t xml:space="preserve"> nehmotný majetok sa odpisuje počas 4 rokov od jeho obstarania.</w:t>
      </w:r>
    </w:p>
    <w:p w:rsidR="002B15D8" w:rsidRDefault="00DB4F7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</w:t>
      </w:r>
      <w:r>
        <w:rPr>
          <w:rFonts w:ascii="Arial Narrow" w:hAnsi="Arial Narrow" w:cs="Arial"/>
          <w:sz w:val="22"/>
          <w:szCs w:val="22"/>
        </w:rPr>
        <w:t>ey (taktiež daňové odpisy podľa zákona o dani z príjmov).</w:t>
      </w:r>
    </w:p>
    <w:p w:rsidR="002B15D8" w:rsidRDefault="00DB4F7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2B15D8" w:rsidRDefault="00DB4F7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nep</w:t>
      </w:r>
      <w:r>
        <w:rPr>
          <w:rFonts w:ascii="Arial Narrow" w:hAnsi="Arial Narrow" w:cs="Arial Narrow"/>
          <w:sz w:val="22"/>
          <w:szCs w:val="22"/>
        </w:rPr>
        <w:t xml:space="preserve">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2B15D8" w:rsidRDefault="00DB4F7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</w:t>
      </w:r>
      <w:r>
        <w:rPr>
          <w:rFonts w:ascii="Arial Narrow" w:hAnsi="Arial Narrow"/>
          <w:sz w:val="22"/>
          <w:szCs w:val="22"/>
        </w:rPr>
        <w:t>).</w:t>
      </w:r>
    </w:p>
    <w:p w:rsidR="002B15D8" w:rsidRDefault="00DB4F7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2B15D8" w:rsidRDefault="00DB4F7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</w:t>
      </w:r>
      <w:r>
        <w:rPr>
          <w:rFonts w:ascii="Arial Narrow" w:hAnsi="Arial Narrow" w:cs="Arial Narrow"/>
          <w:sz w:val="22"/>
          <w:szCs w:val="22"/>
        </w:rPr>
        <w:t>chnické zhodnotenie pod 1 700 eur za účtovné obdobie (§ 21/3 PU; § 29/2 ZDP).</w:t>
      </w:r>
    </w:p>
    <w:p w:rsidR="002B15D8" w:rsidRDefault="00DB4F74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2B15D8" w:rsidRDefault="002B1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B15D8" w:rsidRDefault="002B15D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2B15D8" w:rsidRDefault="00DB4F74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2B15D8">
        <w:tc>
          <w:tcPr>
            <w:tcW w:w="1601" w:type="pct"/>
            <w:shd w:val="clear" w:color="auto" w:fill="auto"/>
          </w:tcPr>
          <w:p w:rsidR="002B15D8" w:rsidRDefault="00DB4F7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2B15D8" w:rsidRDefault="00DB4F7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2B15D8" w:rsidRDefault="00DB4F7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2B15D8" w:rsidRDefault="00DB4F7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2B15D8" w:rsidRDefault="00DB4F7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2B15D8">
        <w:tc>
          <w:tcPr>
            <w:tcW w:w="1601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B15D8">
        <w:tc>
          <w:tcPr>
            <w:tcW w:w="1601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2B15D8" w:rsidRDefault="002B15D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B15D8" w:rsidRDefault="002B1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2B15D8">
      <w:pPr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2B15D8" w:rsidRDefault="002B1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2B15D8">
        <w:trPr>
          <w:trHeight w:val="693"/>
          <w:jc w:val="center"/>
        </w:trPr>
        <w:tc>
          <w:tcPr>
            <w:tcW w:w="2463" w:type="pct"/>
            <w:vAlign w:val="center"/>
          </w:tcPr>
          <w:p w:rsidR="002B15D8" w:rsidRDefault="00DB4F74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2B15D8" w:rsidRDefault="00DB4F74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2B15D8" w:rsidRDefault="00DB4F74">
            <w:pPr>
              <w:pStyle w:val="TopHeader"/>
            </w:pPr>
            <w:r>
              <w:t>Bezprostredne predchádzajúce účtovné obdobie</w:t>
            </w:r>
          </w:p>
        </w:tc>
      </w:tr>
      <w:tr w:rsidR="002B15D8">
        <w:trPr>
          <w:trHeight w:val="207"/>
          <w:jc w:val="center"/>
        </w:trPr>
        <w:tc>
          <w:tcPr>
            <w:tcW w:w="2463" w:type="pct"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2B15D8" w:rsidRDefault="00DB4F7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2B15D8" w:rsidRDefault="00DB4F7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2B15D8" w:rsidRDefault="002B1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2B15D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B15D8" w:rsidRDefault="002B15D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B15D8" w:rsidRDefault="002B15D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B15D8" w:rsidRDefault="00DB4F7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2B15D8" w:rsidRDefault="00DB4F7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2B15D8" w:rsidRDefault="002B15D8">
      <w:pPr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2B15D8" w:rsidRDefault="002B15D8">
      <w:pPr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2B15D8" w:rsidRDefault="002B15D8">
      <w:pPr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2B15D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2B15D8" w:rsidRDefault="00DB4F74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2B15D8" w:rsidRDefault="00DB4F74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2B15D8" w:rsidRDefault="00DB4F74">
            <w:pPr>
              <w:pStyle w:val="TopHeader"/>
            </w:pPr>
            <w:r>
              <w:t>Bezprostredne predchádzajúce účtovné obdobie</w:t>
            </w:r>
          </w:p>
        </w:tc>
      </w:tr>
      <w:tr w:rsidR="002B15D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B15D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B15D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B15D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2B15D8" w:rsidRDefault="002B15D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2B15D8" w:rsidRDefault="002B15D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B15D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2B15D8" w:rsidRDefault="002B15D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2B15D8" w:rsidRDefault="002B15D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B15D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B15D8" w:rsidRDefault="00DB4F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2B15D8" w:rsidRDefault="002B15D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2B15D8" w:rsidRDefault="002B15D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B15D8" w:rsidRDefault="002B15D8">
      <w:pPr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2B15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2B15D8" w:rsidRDefault="00DB4F7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2B15D8" w:rsidRDefault="002B15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2B15D8" w:rsidRDefault="00DB4F7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2B15D8" w:rsidRDefault="002B15D8">
      <w:pPr>
        <w:jc w:val="both"/>
        <w:rPr>
          <w:rFonts w:ascii="Arial Narrow" w:hAnsi="Arial Narrow" w:cs="Arial Narrow"/>
          <w:sz w:val="22"/>
          <w:szCs w:val="22"/>
        </w:rPr>
      </w:pPr>
    </w:p>
    <w:p w:rsidR="002B15D8" w:rsidRDefault="002B15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2B15D8" w:rsidRDefault="002B15D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B15D8" w:rsidRDefault="00DB4F7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2B15D8" w:rsidRDefault="00DB4F7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2B15D8" w:rsidRDefault="00DB4F7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2B15D8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DB4F74">
      <w:r>
        <w:separator/>
      </w:r>
    </w:p>
  </w:endnote>
  <w:endnote w:type="continuationSeparator" w:id="0">
    <w:p w:rsidR="00000000" w:rsidRDefault="00DB4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15D8" w:rsidRDefault="00DB4F7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2B15D8" w:rsidRDefault="002B15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DB4F74">
      <w:r>
        <w:separator/>
      </w:r>
    </w:p>
  </w:footnote>
  <w:footnote w:type="continuationSeparator" w:id="0">
    <w:p w:rsidR="00000000" w:rsidRDefault="00DB4F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15D8" w:rsidRDefault="00DB4F7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36659355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2022219540</w:t>
    </w:r>
  </w:p>
  <w:p w:rsidR="002B15D8" w:rsidRDefault="002B15D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B15D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B15D8" w:rsidRDefault="00DB4F7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B15D8" w:rsidRDefault="002B15D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B15D8" w:rsidRDefault="00DB4F7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B15D8" w:rsidRDefault="00DB4F74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2B15D8" w:rsidRDefault="002B15D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5D8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F74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1AC52B7"/>
    <w:rsid w:val="77614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69AF110A-B2F6-4E7A-8313-A51C83A8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 w:qFormat="1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659530-08A2-40A6-939F-37E45578A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1642</Words>
  <Characters>10172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2024-02-26T15:45:00Z</cp:lastPrinted>
  <dcterms:created xsi:type="dcterms:W3CDTF">2024-02-26T15:46:00Z</dcterms:created>
  <dcterms:modified xsi:type="dcterms:W3CDTF">2024-02-26T15:46:00Z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3B2B45DD05F54190B479A767C22CB3E9</vt:lpwstr>
  </property>
</Properties>
</file>