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i/>
          <w:sz w:val="28"/>
          <w:szCs w:val="28"/>
        </w:rPr>
        <w:t>Poznámky k účtovnej závierke firmy Enea, s.r.o. za rok 202</w:t>
      </w:r>
      <w:r>
        <w:rPr>
          <w:b/>
          <w:i/>
          <w:sz w:val="28"/>
          <w:szCs w:val="28"/>
        </w:rPr>
        <w:t>3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Čl. I </w:t>
      </w:r>
    </w:p>
    <w:p>
      <w:pPr>
        <w:pStyle w:val="Normal"/>
        <w:jc w:val="center"/>
        <w:rPr>
          <w:b/>
          <w:b/>
        </w:rPr>
      </w:pPr>
      <w:r>
        <w:rPr>
          <w:b/>
        </w:rPr>
        <w:t>Všeobecné údaje</w:t>
      </w:r>
    </w:p>
    <w:p>
      <w:pPr>
        <w:pStyle w:val="ListParagraph"/>
        <w:numPr>
          <w:ilvl w:val="0"/>
          <w:numId w:val="1"/>
        </w:numPr>
        <w:rPr/>
      </w:pPr>
      <w:r>
        <w:rPr/>
        <w:t>Enea, s.r.o., Bôrová 448/40, 971 01 Prievidza, IČO: 50 844 776, DIČ: 2120504331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nezostavuje konsolidovanú účtovnú závierku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nezamestnáva zamestnancov – priemerný prepočítaný počet zamestnancov je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>Čl. II</w:t>
      </w:r>
    </w:p>
    <w:p>
      <w:pPr>
        <w:pStyle w:val="Normal"/>
        <w:jc w:val="center"/>
        <w:rPr>
          <w:b/>
          <w:b/>
        </w:rPr>
      </w:pPr>
      <w:r>
        <w:rPr/>
        <w:t xml:space="preserve"> </w:t>
      </w:r>
      <w:r>
        <w:rPr>
          <w:b/>
        </w:rPr>
        <w:t>Informácie o prijatých postupoch</w:t>
      </w:r>
    </w:p>
    <w:p>
      <w:pPr>
        <w:pStyle w:val="ListParagraph"/>
        <w:numPr>
          <w:ilvl w:val="0"/>
          <w:numId w:val="2"/>
        </w:numPr>
        <w:rPr/>
      </w:pPr>
      <w:r>
        <w:rPr/>
        <w:t xml:space="preserve">Spoločnosť </w:t>
      </w:r>
      <w:r>
        <w:rPr/>
        <w:t>ne</w:t>
      </w:r>
      <w:r>
        <w:rPr/>
        <w:t xml:space="preserve">plánuje </w:t>
      </w:r>
      <w:r>
        <w:rPr/>
        <w:t xml:space="preserve">v roku 2024 </w:t>
      </w:r>
      <w:r>
        <w:rPr/>
        <w:t>pokračovať a rozširovať  svoju činnosť v oblasti výroby prírodných mydiel a prírodnej kozmetiky.</w:t>
      </w:r>
    </w:p>
    <w:p>
      <w:pPr>
        <w:pStyle w:val="ListParagraph"/>
        <w:numPr>
          <w:ilvl w:val="0"/>
          <w:numId w:val="2"/>
        </w:numPr>
        <w:rPr/>
      </w:pPr>
      <w:r>
        <w:rPr/>
        <w:t>Oceňovanie majetku a záväzkov :</w:t>
      </w:r>
    </w:p>
    <w:p>
      <w:pPr>
        <w:pStyle w:val="ListParagraph"/>
        <w:numPr>
          <w:ilvl w:val="0"/>
          <w:numId w:val="3"/>
        </w:numPr>
        <w:rPr/>
      </w:pPr>
      <w:r>
        <w:rPr/>
        <w:t>Dlhodobého hmotného, nehmotného a finančného majetku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Zásoby obstarané kúpou boli oceňované obstarávacou cenou , ktorá zahrňuje aj cenu, náklad súvisiaci s obstaraním</w:t>
      </w:r>
    </w:p>
    <w:p>
      <w:pPr>
        <w:pStyle w:val="ListParagraph"/>
        <w:numPr>
          <w:ilvl w:val="0"/>
          <w:numId w:val="3"/>
        </w:numPr>
        <w:rPr/>
      </w:pPr>
      <w:r>
        <w:rPr/>
        <w:t>Pohľadávky sa pri ich vzniku oceňovali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Krátkodobí finančný majetok bol oceňovaný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Záväzky spoločnosť oceňovala nominálnou hodnotou. Rezervy, pôžičky, dlhopisy, úvery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Derivátové operácie - tieto účtovné prípady sa v bežnom účtovnom období nevyskytli</w:t>
      </w:r>
    </w:p>
    <w:p>
      <w:pPr>
        <w:pStyle w:val="ListParagraph"/>
        <w:numPr>
          <w:ilvl w:val="0"/>
          <w:numId w:val="2"/>
        </w:numPr>
        <w:rPr/>
      </w:pPr>
      <w:r>
        <w:rPr/>
        <w:t>Spôsob zostavenia odpisového plánu – spoločnosť  v bežnom účtovnom období neeviduje obstaranie dlhodobého hmotného a nehmotného majetku</w:t>
      </w:r>
    </w:p>
    <w:p>
      <w:pPr>
        <w:pStyle w:val="ListParagraph"/>
        <w:numPr>
          <w:ilvl w:val="0"/>
          <w:numId w:val="2"/>
        </w:numPr>
        <w:rPr/>
      </w:pPr>
      <w:r>
        <w:rPr/>
        <w:t>Významné zmeny účtovných zásad a účtovných metód – neboli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poskytnutých dotáciách – neboli poskytnuté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účtovaní významných opráv chýb minulých účtovných období – spoločnosť  neeviduje žiadne opravy minulých účtovných období</w:t>
      </w:r>
    </w:p>
    <w:p>
      <w:pPr>
        <w:pStyle w:val="Normal"/>
        <w:jc w:val="center"/>
        <w:rPr/>
      </w:pPr>
      <w:r>
        <w:rPr/>
        <w:t>Čl. III</w:t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Informácie, ktoré vysvetľujú a dopĺňajú súvahu a výkaz ziskov a strát 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položkách nákladov a výnosov výnimočného rozsahu alebo výskytu – tieto účtovné prípady sa v bežnom účtovnom období nevyskytli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záväzkoch : </w:t>
      </w:r>
    </w:p>
    <w:p>
      <w:pPr>
        <w:pStyle w:val="ListParagraph"/>
        <w:numPr>
          <w:ilvl w:val="0"/>
          <w:numId w:val="5"/>
        </w:numPr>
        <w:rPr/>
      </w:pPr>
      <w:r>
        <w:rPr/>
        <w:t xml:space="preserve">Celková suma záväzkov so zostatkovou dobou splatnosti dlhšou ako 5 rokov – </w:t>
      </w:r>
      <w:r>
        <w:rPr/>
        <w:t>2617,16 eur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záložné práva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obmedzené práva s nimi nakladať – 0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vlastných akciách :</w:t>
      </w:r>
    </w:p>
    <w:p>
      <w:pPr>
        <w:pStyle w:val="ListParagraph"/>
        <w:numPr>
          <w:ilvl w:val="0"/>
          <w:numId w:val="6"/>
        </w:numPr>
        <w:rPr/>
      </w:pPr>
      <w:r>
        <w:rPr/>
        <w:t>Dôvod nadobudnutia vlastných akcií počas účtovného obdobia –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 - 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akcií, ktoré účtovná jednotka má v držbe k poslednému dňu účtovného obdobia – spoločnosť nevlastní žiadne akcie v držbe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orgánoch účtovnej jednotky :</w:t>
      </w:r>
    </w:p>
    <w:p>
      <w:pPr>
        <w:pStyle w:val="ListParagraph"/>
        <w:numPr>
          <w:ilvl w:val="0"/>
          <w:numId w:val="7"/>
        </w:numPr>
        <w:rPr/>
      </w:pPr>
      <w:r>
        <w:rPr/>
        <w:t>Výška jednotlivých druhov záruk alebo iných zabezpečení poskytnutých pre členov štatutárneho orgánu – neboli poskytnuté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Výška poskytnutých pôžičiek poskytnutých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Celková suma splatených pôžičiek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odpustených pôžičiek a odpísaných pôžičiek k poslednému dňu účtovného obdobia – neboli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použitých finančných prostriedkov alebo iného plnenia na súkromné účely členmi štatutárneho orgánu, dozorného orgánu a iného orgánu účtovnej jednotky – neboli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povinnostiach účtovnej jednotky: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finančných povinností, ktoré sa nevykazujú v súvahe, ale sú významné na posúdenie finančnej situácie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podmienených záväzkov –neboli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finančných povinností a opis významných podmienených záväzkov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finančných povinností a významných podmienených záväzkov voči dcérskej účtovnej jednotke – netýka sa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povinností účtovnej jednotky vyplývajúcich z dôchodkových programov pre zamestnancov – netýka sa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udelení výlučného práva alebo osobitného práva, ktorým sa udelilo právo poskytovať služby vo verejnom záujme – netýka sa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Prievidzi dňa 2</w:t>
      </w:r>
      <w:r>
        <w:rPr/>
        <w:t>6</w:t>
      </w:r>
      <w:r>
        <w:rPr/>
        <w:t>.</w:t>
      </w:r>
      <w:r>
        <w:rPr/>
        <w:t>2</w:t>
      </w:r>
      <w:r>
        <w:rPr/>
        <w:t>.2023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 xml:space="preserve"> 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26a22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Application>LibreOffice/6.3.4.2$Windows_x86 LibreOffice_project/60da17e045e08f1793c57c00ba83cdfce946d0aa</Application>
  <Pages>2</Pages>
  <Words>507</Words>
  <Characters>3129</Characters>
  <CharactersWithSpaces>3589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2018-02-27T18:27:00Z</dcterms:created>
  <dc:creator>PC</dc:creator>
  <dc:description/>
  <dc:language>sk-SK</dc:language>
  <cp:lastModifiedBy/>
  <dcterms:modified xsi:type="dcterms:W3CDTF">2024-02-26T14:01:58Z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