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>
        <w:rPr>
          <w:rFonts w:ascii="Arial Narrow" w:hAnsi="Arial Narrow"/>
          <w:b/>
        </w:rPr>
        <w:t>2023</w:t>
      </w:r>
    </w:p>
    <w:p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25EE6" w:rsidRDefault="001F67D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525EE6" w:rsidRDefault="00525EE6">
      <w:pPr>
        <w:rPr>
          <w:rFonts w:ascii="Arial Narrow" w:hAnsi="Arial Narrow"/>
          <w:sz w:val="22"/>
          <w:szCs w:val="22"/>
        </w:rPr>
      </w:pPr>
    </w:p>
    <w:p w:rsidR="00525EE6" w:rsidRDefault="001F67DD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25EE6" w:rsidRDefault="00525EE6">
      <w:pPr>
        <w:rPr>
          <w:rFonts w:ascii="Arial Narrow" w:hAnsi="Arial Narrow"/>
          <w:sz w:val="22"/>
          <w:szCs w:val="22"/>
        </w:rPr>
      </w:pPr>
    </w:p>
    <w:p w:rsidR="00525EE6" w:rsidRDefault="001F67DD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525EE6" w:rsidRDefault="00525EE6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525EE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BLUE 2014 s.r.o.</w:t>
            </w:r>
          </w:p>
        </w:tc>
      </w:tr>
      <w:tr w:rsidR="00525EE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08 Bratislava, Záhradnícka 46/A</w:t>
            </w:r>
          </w:p>
        </w:tc>
      </w:tr>
      <w:tr w:rsidR="00525EE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25EE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17.06.2014</w:t>
            </w:r>
          </w:p>
        </w:tc>
      </w:tr>
      <w:tr w:rsidR="00525EE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Výroba filmov, videozáznamov a televíznych programov </w:t>
            </w:r>
          </w:p>
        </w:tc>
      </w:tr>
      <w:tr w:rsidR="00525EE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525EE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25EE6" w:rsidRDefault="001F67DD" w:rsidP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účtovnej jednotky (2 ZoU)</w:t>
      </w:r>
    </w:p>
    <w:p w:rsidR="00525EE6" w:rsidRDefault="001F67D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</w:t>
      </w:r>
      <w:r>
        <w:rPr>
          <w:rFonts w:ascii="Arial Narrow" w:hAnsi="Arial Narrow" w:cs="Arial Narrow"/>
          <w:bCs/>
          <w:sz w:val="22"/>
          <w:szCs w:val="22"/>
        </w:rPr>
        <w:t xml:space="preserve">700 000 eur, ale nepresiahol 8 000 000 eur a priemerný prepočítaný počet zamestnancov počas účtovného obdobia presiahol 10, ale nepresiahol 50).  </w:t>
      </w:r>
    </w:p>
    <w:p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525EE6">
        <w:tc>
          <w:tcPr>
            <w:tcW w:w="2197" w:type="dxa"/>
            <w:shd w:val="clear" w:color="auto" w:fill="auto"/>
          </w:tcPr>
          <w:p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F67DD">
        <w:tc>
          <w:tcPr>
            <w:tcW w:w="2197" w:type="dxa"/>
            <w:shd w:val="clear" w:color="auto" w:fill="auto"/>
          </w:tcPr>
          <w:p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228 801</w:t>
            </w:r>
          </w:p>
        </w:tc>
        <w:tc>
          <w:tcPr>
            <w:tcW w:w="3260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228 801</w:t>
            </w:r>
          </w:p>
        </w:tc>
        <w:tc>
          <w:tcPr>
            <w:tcW w:w="1276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F67DD">
        <w:tc>
          <w:tcPr>
            <w:tcW w:w="2197" w:type="dxa"/>
            <w:shd w:val="clear" w:color="auto" w:fill="auto"/>
          </w:tcPr>
          <w:p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F67DD">
        <w:tc>
          <w:tcPr>
            <w:tcW w:w="2197" w:type="dxa"/>
            <w:shd w:val="clear" w:color="auto" w:fill="auto"/>
          </w:tcPr>
          <w:p w:rsidR="001F67DD" w:rsidRDefault="001F67DD" w:rsidP="001F67D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F67DD" w:rsidRDefault="001F67DD" w:rsidP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525EE6" w:rsidRDefault="00525E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525EE6" w:rsidRDefault="00525EE6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za p</w:t>
      </w:r>
      <w:r>
        <w:rPr>
          <w:rFonts w:ascii="Arial Narrow" w:hAnsi="Arial Narrow" w:cs="Arial Narrow"/>
          <w:sz w:val="22"/>
          <w:szCs w:val="22"/>
        </w:rPr>
        <w:t xml:space="preserve">redchádzajúce účtovné obdobie za bezprostredne predchádzajúce účtovné obdobie príslušným orgánom účtovnej jednotky: </w:t>
      </w:r>
      <w:r>
        <w:rPr>
          <w:rFonts w:ascii="Arial Narrow" w:hAnsi="Arial Narrow" w:cs="Arial Narrow"/>
          <w:sz w:val="22"/>
          <w:szCs w:val="22"/>
        </w:rPr>
        <w:t xml:space="preserve"> bola schválená 02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25EE6" w:rsidRDefault="001F67DD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r>
        <w:rPr>
          <w:rFonts w:ascii="Arial Narrow" w:hAnsi="Arial Narrow" w:cs="Arial Narrow"/>
          <w:b/>
          <w:bCs/>
          <w:sz w:val="22"/>
          <w:szCs w:val="22"/>
        </w:rPr>
        <w:t>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:rsidR="00525EE6" w:rsidRDefault="00525EE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 xml:space="preserve">, ktorej súčasťou je účtovná jednotka ako dcérska účtovná jednotka (bezprostredne vyšší stupeň konsolidácie), a ktorá je tiež začlenená do </w:t>
      </w:r>
      <w:r>
        <w:rPr>
          <w:rFonts w:ascii="Arial Narrow" w:hAnsi="Arial Narrow" w:cs="Arial Narrow"/>
          <w:sz w:val="22"/>
          <w:szCs w:val="22"/>
        </w:rPr>
        <w:t>skupiny účtovných jednotiek na najvyššom stupni konsolidácie: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účtovná jednotka je materskou účtovnou jednotkou a údaj, či je oslobodená od povinnosti z</w:t>
      </w:r>
      <w:r>
        <w:rPr>
          <w:rFonts w:ascii="Arial Narrow" w:hAnsi="Arial Narrow" w:cs="Arial Narrow"/>
          <w:sz w:val="22"/>
          <w:szCs w:val="22"/>
        </w:rPr>
        <w:t xml:space="preserve">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</w:t>
      </w:r>
      <w:r>
        <w:rPr>
          <w:rFonts w:ascii="Arial Narrow" w:hAnsi="Arial Narrow" w:cs="Arial Narrow"/>
          <w:b/>
          <w:sz w:val="22"/>
          <w:szCs w:val="22"/>
        </w:rPr>
        <w:t xml:space="preserve">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525EE6">
        <w:trPr>
          <w:trHeight w:val="537"/>
        </w:trPr>
        <w:tc>
          <w:tcPr>
            <w:tcW w:w="2492" w:type="pct"/>
            <w:vAlign w:val="center"/>
          </w:tcPr>
          <w:p w:rsidR="00525EE6" w:rsidRDefault="001F67DD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né účtovné obdobie</w:t>
            </w:r>
          </w:p>
        </w:tc>
        <w:tc>
          <w:tcPr>
            <w:tcW w:w="1214" w:type="pct"/>
            <w:vAlign w:val="center"/>
          </w:tcPr>
          <w:p w:rsidR="00525EE6" w:rsidRDefault="001F67D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25EE6">
        <w:trPr>
          <w:trHeight w:val="163"/>
        </w:trPr>
        <w:tc>
          <w:tcPr>
            <w:tcW w:w="2492" w:type="pct"/>
            <w:vAlign w:val="bottom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25EE6" w:rsidRDefault="001F6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525EE6" w:rsidRDefault="001F6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25EE6" w:rsidRDefault="00525EE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25EE6" w:rsidRDefault="00525E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525EE6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25EE6" w:rsidRDefault="00525E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525EE6" w:rsidRDefault="00525EE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</w:t>
      </w:r>
      <w:r>
        <w:rPr>
          <w:rFonts w:ascii="Arial Narrow" w:hAnsi="Arial Narrow" w:cs="Arial Narrow"/>
          <w:sz w:val="22"/>
          <w:szCs w:val="22"/>
        </w:rPr>
        <w:t xml:space="preserve">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</w:t>
      </w:r>
      <w:r>
        <w:rPr>
          <w:rFonts w:ascii="Arial Narrow" w:hAnsi="Arial Narrow" w:cs="Arial Narrow"/>
          <w:sz w:val="22"/>
          <w:szCs w:val="22"/>
        </w:rPr>
        <w:t>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</w:t>
      </w:r>
      <w:r>
        <w:rPr>
          <w:rFonts w:ascii="Arial Narrow" w:hAnsi="Arial Narrow" w:cs="Arial Narrow"/>
          <w:sz w:val="22"/>
          <w:szCs w:val="22"/>
        </w:rPr>
        <w:t>ovnateľných hodnotách:-</w:t>
      </w:r>
    </w:p>
    <w:p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</w:t>
      </w:r>
      <w:r>
        <w:rPr>
          <w:rFonts w:ascii="Arial Narrow" w:hAnsi="Arial Narrow" w:cs="Arial Narrow"/>
          <w:sz w:val="22"/>
          <w:szCs w:val="22"/>
        </w:rPr>
        <w:t>tovať, dopad legislatívy, celkový pokles v hospodárskom segmente):    -</w:t>
      </w:r>
    </w:p>
    <w:p w:rsidR="00525EE6" w:rsidRDefault="00525E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525EE6" w:rsidRDefault="001F67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25EE6" w:rsidRDefault="00525E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25EE6">
        <w:tc>
          <w:tcPr>
            <w:tcW w:w="706" w:type="dxa"/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25EE6">
        <w:tc>
          <w:tcPr>
            <w:tcW w:w="706" w:type="dxa"/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Splatná daň </w:t>
            </w:r>
            <w:r>
              <w:rPr>
                <w:rFonts w:ascii="Arial Narrow" w:hAnsi="Arial Narrow" w:cs="Arial"/>
                <w:sz w:val="22"/>
                <w:szCs w:val="22"/>
              </w:rPr>
              <w:t>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25EE6" w:rsidRDefault="001F67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</w:t>
      </w:r>
      <w:r>
        <w:rPr>
          <w:rFonts w:ascii="Arial Narrow" w:hAnsi="Arial Narrow" w:cs="Arial Narrow"/>
          <w:sz w:val="22"/>
          <w:szCs w:val="22"/>
        </w:rPr>
        <w:t xml:space="preserve">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25EE6" w:rsidRDefault="001F67DD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25EE6" w:rsidRDefault="001F67D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25EE6" w:rsidRDefault="00525EE6"/>
    <w:p w:rsidR="00525EE6" w:rsidRDefault="001F67DD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525EE6">
        <w:tc>
          <w:tcPr>
            <w:tcW w:w="421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25EE6" w:rsidRDefault="001F67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25EE6">
        <w:tc>
          <w:tcPr>
            <w:tcW w:w="4218" w:type="dxa"/>
          </w:tcPr>
          <w:p w:rsidR="00525EE6" w:rsidRDefault="001F67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525EE6" w:rsidRDefault="001F67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525EE6" w:rsidRDefault="001F67DD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525EE6" w:rsidRDefault="001F67DD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r>
        <w:rPr>
          <w:rFonts w:ascii="Arial Narrow" w:hAnsi="Arial Narrow" w:cs="Arial"/>
          <w:sz w:val="22"/>
          <w:szCs w:val="22"/>
        </w:rPr>
        <w:t>odpismy.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</w:t>
      </w:r>
      <w:r>
        <w:rPr>
          <w:rFonts w:ascii="Arial Narrow" w:hAnsi="Arial Narrow" w:cs="Arial"/>
          <w:sz w:val="22"/>
          <w:szCs w:val="22"/>
        </w:rPr>
        <w:t>.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</w:t>
      </w:r>
      <w:r>
        <w:rPr>
          <w:rFonts w:ascii="Arial Narrow" w:hAnsi="Arial Narrow" w:cs="Arial Narrow"/>
          <w:sz w:val="22"/>
          <w:szCs w:val="22"/>
        </w:rPr>
        <w:t>norazového trvalého zníženia hodnoty majetku (§ 21/5 PU).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</w:t>
      </w:r>
      <w:r>
        <w:rPr>
          <w:rFonts w:ascii="Arial Narrow" w:hAnsi="Arial Narrow"/>
          <w:sz w:val="22"/>
          <w:szCs w:val="22"/>
          <w:u w:val="single"/>
        </w:rPr>
        <w:t>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25EE6" w:rsidRDefault="001F67D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25EE6" w:rsidRDefault="001F67DD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525EE6" w:rsidRDefault="00525EE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25EE6" w:rsidRDefault="001F67DD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525EE6">
        <w:tc>
          <w:tcPr>
            <w:tcW w:w="1601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25EE6">
        <w:tc>
          <w:tcPr>
            <w:tcW w:w="160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>
        <w:tc>
          <w:tcPr>
            <w:tcW w:w="160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 schválení účtovnej závierky na valnom</w:t>
      </w:r>
      <w:r>
        <w:rPr>
          <w:rFonts w:ascii="Arial Narrow" w:hAnsi="Arial Narrow" w:cs="Arial Narrow"/>
          <w:sz w:val="22"/>
          <w:szCs w:val="22"/>
        </w:rPr>
        <w:t xml:space="preserve"> zhromaždení už nemožno otvárať účtovné knihy minulých účtovných období a prípadné opravy sa vykonajú v bežnom účtovnom období (§ 16/10,11 ZoU).</w:t>
      </w:r>
    </w:p>
    <w:p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</w:t>
      </w:r>
      <w:r>
        <w:rPr>
          <w:rFonts w:ascii="Arial Narrow" w:hAnsi="Arial Narrow" w:cs="Arial Narrow"/>
          <w:sz w:val="22"/>
          <w:szCs w:val="22"/>
        </w:rPr>
        <w:t xml:space="preserve">prípady bežného účtovného obdobia (§ 5/1 PU).  </w:t>
      </w:r>
    </w:p>
    <w:p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</w:t>
      </w:r>
      <w:r>
        <w:rPr>
          <w:rFonts w:ascii="Arial Narrow" w:hAnsi="Arial Narrow" w:cs="Arial Narrow"/>
          <w:sz w:val="22"/>
          <w:szCs w:val="22"/>
        </w:rPr>
        <w:t>ernej účtovnej smernici (napr. 1 tisícina z brutto aktív).</w:t>
      </w:r>
    </w:p>
    <w:p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525EE6" w:rsidRDefault="001F67DD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</w:t>
      </w:r>
      <w:r>
        <w:rPr>
          <w:rFonts w:ascii="Arial Narrow" w:hAnsi="Arial Narrow" w:cs="Arial Narrow"/>
          <w:sz w:val="22"/>
          <w:szCs w:val="22"/>
        </w:rPr>
        <w:t xml:space="preserve">lých účtovných období sa daňovo vysporiadajú podľa pravidiel v zákone o dani z príjmov (§ 17/15,29 ZDP) a pravidiel v daňovom poriadku (§ 16).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Dlhodobý nehmotný majetok</w:t>
      </w:r>
      <w:r>
        <w:rPr>
          <w:rFonts w:ascii="Arial Narrow" w:hAnsi="Arial Narrow" w:cs="Arial Narrow"/>
          <w:sz w:val="22"/>
          <w:szCs w:val="22"/>
        </w:rPr>
        <w:t xml:space="preserve">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goodwill sa účtovne odpíše do výnosov (075/551) jednorázovo v roku jeho vzniku (§ 37 </w:t>
      </w:r>
      <w:r>
        <w:rPr>
          <w:rFonts w:ascii="Arial Narrow" w:hAnsi="Arial Narrow" w:cs="Arial Narrow"/>
          <w:sz w:val="22"/>
          <w:szCs w:val="22"/>
        </w:rPr>
        <w:t>PU). Daňovo sa goodwill z podnikových kombinácií spravidla odpisuje najdlhšie počas 7 rokov podľa pravidiel v zákone o dani z príjmov (§ 17/11; § 17a - 17e ZDP)]</w:t>
      </w:r>
    </w:p>
    <w:p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</w:t>
      </w:r>
      <w:r>
        <w:rPr>
          <w:rFonts w:ascii="Arial Narrow" w:hAnsi="Arial Narrow" w:cs="Arial Narrow"/>
          <w:sz w:val="22"/>
          <w:szCs w:val="22"/>
          <w:u w:val="single"/>
        </w:rPr>
        <w:t>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525EE6" w:rsidRDefault="00525E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</w:t>
      </w:r>
      <w:r>
        <w:rPr>
          <w:rFonts w:ascii="Arial Narrow" w:hAnsi="Arial Narrow" w:cs="Arial Narrow"/>
          <w:sz w:val="22"/>
          <w:szCs w:val="22"/>
        </w:rPr>
        <w:t>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525EE6">
        <w:trPr>
          <w:trHeight w:val="153"/>
        </w:trPr>
        <w:tc>
          <w:tcPr>
            <w:tcW w:w="1902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525EE6" w:rsidRDefault="001F67D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525EE6">
        <w:trPr>
          <w:trHeight w:val="62"/>
        </w:trPr>
        <w:tc>
          <w:tcPr>
            <w:tcW w:w="1902" w:type="pct"/>
            <w:shd w:val="clear" w:color="auto" w:fill="auto"/>
          </w:tcPr>
          <w:p w:rsidR="00525EE6" w:rsidRDefault="00525EE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>
        <w:trPr>
          <w:trHeight w:val="109"/>
        </w:trPr>
        <w:tc>
          <w:tcPr>
            <w:tcW w:w="1902" w:type="pct"/>
            <w:shd w:val="clear" w:color="auto" w:fill="auto"/>
          </w:tcPr>
          <w:p w:rsidR="00525EE6" w:rsidRDefault="00525EE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525EE6" w:rsidRDefault="00525EE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25EE6" w:rsidRDefault="001F67D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525EE6" w:rsidRDefault="00525EE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3a) Celková sum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525EE6">
        <w:trPr>
          <w:trHeight w:val="693"/>
          <w:jc w:val="center"/>
        </w:trPr>
        <w:tc>
          <w:tcPr>
            <w:tcW w:w="2463" w:type="pct"/>
            <w:vAlign w:val="center"/>
          </w:tcPr>
          <w:p w:rsidR="00525EE6" w:rsidRDefault="001F67DD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>
        <w:trPr>
          <w:trHeight w:val="207"/>
          <w:jc w:val="center"/>
        </w:trPr>
        <w:tc>
          <w:tcPr>
            <w:tcW w:w="2463" w:type="pct"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525EE6" w:rsidRDefault="001F67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525EE6" w:rsidRDefault="001F67DD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</w:t>
      </w:r>
      <w:r>
        <w:rPr>
          <w:rFonts w:ascii="Arial Narrow" w:hAnsi="Arial Narrow" w:cs="Arial Narrow"/>
          <w:sz w:val="22"/>
          <w:szCs w:val="22"/>
        </w:rPr>
        <w:t>alebo jeho časti – je rozdiel medzi dohodnutou dobou splatnosti záväzkov a závierkovým dňom (§ 12 PU).]</w:t>
      </w:r>
    </w:p>
    <w:p w:rsidR="00525EE6" w:rsidRDefault="00525EE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525EE6">
        <w:trPr>
          <w:jc w:val="center"/>
        </w:trPr>
        <w:tc>
          <w:tcPr>
            <w:tcW w:w="4201" w:type="dxa"/>
            <w:vMerge w:val="restart"/>
            <w:vAlign w:val="center"/>
          </w:tcPr>
          <w:p w:rsidR="00525EE6" w:rsidRDefault="001F67DD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25EE6" w:rsidRDefault="001F67DD">
            <w:pPr>
              <w:pStyle w:val="TopHeader"/>
            </w:pPr>
            <w:r>
              <w:t>Bežné účtovné obdobie</w:t>
            </w:r>
          </w:p>
        </w:tc>
      </w:tr>
      <w:tr w:rsidR="00525EE6">
        <w:trPr>
          <w:jc w:val="center"/>
        </w:trPr>
        <w:tc>
          <w:tcPr>
            <w:tcW w:w="4201" w:type="dxa"/>
            <w:vMerge/>
            <w:vAlign w:val="center"/>
          </w:tcPr>
          <w:p w:rsidR="00525EE6" w:rsidRDefault="00525EE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25EE6" w:rsidRDefault="001F67DD">
            <w:pPr>
              <w:pStyle w:val="TopHeader"/>
            </w:pPr>
            <w:r>
              <w:t xml:space="preserve">Spôsob </w:t>
            </w:r>
          </w:p>
          <w:p w:rsidR="00525EE6" w:rsidRDefault="001F67DD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:rsidR="00525EE6" w:rsidRDefault="001F67DD">
            <w:pPr>
              <w:pStyle w:val="TopHeader"/>
            </w:pPr>
            <w:r>
              <w:t>Hodnota záväzkov</w:t>
            </w:r>
          </w:p>
        </w:tc>
      </w:tr>
      <w:tr w:rsidR="00525EE6">
        <w:trPr>
          <w:trHeight w:val="69"/>
          <w:jc w:val="center"/>
        </w:trPr>
        <w:tc>
          <w:tcPr>
            <w:tcW w:w="4201" w:type="dxa"/>
            <w:vAlign w:val="center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25EE6" w:rsidRDefault="001F67D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>
        <w:trPr>
          <w:trHeight w:val="117"/>
          <w:jc w:val="center"/>
        </w:trPr>
        <w:tc>
          <w:tcPr>
            <w:tcW w:w="4201" w:type="dxa"/>
            <w:vAlign w:val="center"/>
          </w:tcPr>
          <w:p w:rsidR="00525EE6" w:rsidRDefault="001F67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25EE6" w:rsidRDefault="00525EE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5EE6">
        <w:trPr>
          <w:trHeight w:val="117"/>
          <w:jc w:val="center"/>
        </w:trPr>
        <w:tc>
          <w:tcPr>
            <w:tcW w:w="4201" w:type="dxa"/>
            <w:vAlign w:val="center"/>
          </w:tcPr>
          <w:p w:rsidR="00525EE6" w:rsidRDefault="001F67D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25EE6" w:rsidRDefault="001F67D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25EE6" w:rsidRDefault="00525E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25EE6" w:rsidRDefault="00525E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</w:t>
      </w:r>
      <w:r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</w:t>
      </w:r>
      <w:r>
        <w:rPr>
          <w:rFonts w:ascii="Arial Narrow" w:hAnsi="Arial Narrow" w:cs="Arial Narrow"/>
          <w:sz w:val="22"/>
          <w:szCs w:val="22"/>
        </w:rPr>
        <w:t>počet a protihodnota, za ktorú sa vlastné akcie počas účtovného obdobia nadobudli a počet a protihodnota, za ktorú sa vlastné akcie počas účtovného obdobia previedli na inú osobu:</w:t>
      </w:r>
    </w:p>
    <w:p w:rsidR="00525EE6" w:rsidRDefault="001F67D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</w:t>
      </w:r>
      <w:r>
        <w:rPr>
          <w:rFonts w:ascii="Arial Narrow" w:hAnsi="Arial Narrow" w:cs="Arial Narrow"/>
          <w:sz w:val="22"/>
          <w:szCs w:val="22"/>
        </w:rPr>
        <w:t>li a ktoré účtovná jednotka má v držbe k poslednému dňu účtovného obdobia; uvádza sa aj ich percentuálny podiel na upísanom základnom imaní:</w:t>
      </w:r>
    </w:p>
    <w:p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</w:t>
      </w:r>
      <w:r>
        <w:rPr>
          <w:rFonts w:ascii="Arial Narrow" w:hAnsi="Arial Narrow" w:cs="Arial Narrow"/>
          <w:sz w:val="22"/>
          <w:szCs w:val="22"/>
          <w:u w:val="single"/>
        </w:rPr>
        <w:t>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:rsidR="00525EE6" w:rsidRDefault="00525E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25EE6" w:rsidRDefault="001F67D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</w:t>
      </w:r>
      <w:r>
        <w:rPr>
          <w:rFonts w:ascii="Arial Narrow" w:hAnsi="Arial Narrow" w:cs="Arial Narrow"/>
          <w:sz w:val="22"/>
          <w:szCs w:val="22"/>
        </w:rPr>
        <w:t>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</w:t>
      </w:r>
      <w:r>
        <w:rPr>
          <w:rFonts w:ascii="Arial Narrow" w:hAnsi="Arial Narrow" w:cs="Arial Narrow"/>
          <w:sz w:val="22"/>
          <w:szCs w:val="22"/>
        </w:rPr>
        <w:t xml:space="preserve"> jednotky; týmto majetkom sú – napr. práva zo servisných zmlúv, poistných zmlúv, koncesionárskych zmlúv, licenčných zmlúv: -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:rsidR="00525EE6" w:rsidRDefault="001F67DD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:rsidR="00525EE6" w:rsidRDefault="001F67DD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>ch - napríklad zákonná povinnosť alebo zmluvná povinnosť odobrať určité množstvo produktu, uskutočniť investície a veľké opravy: -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525EE6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pStyle w:val="TopHeader"/>
            </w:pPr>
            <w:r>
              <w:t>Názov p</w:t>
            </w:r>
            <w:r>
              <w:t>odsúvahovej položky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525EE6" w:rsidRDefault="001F67DD">
            <w:pPr>
              <w:pStyle w:val="TopHeader"/>
            </w:pPr>
            <w:r>
              <w:t>Bezprostredne predchádzajúce účtovné obdobie</w:t>
            </w:r>
          </w:p>
        </w:tc>
      </w:tr>
      <w:tr w:rsidR="00525EE6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5E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25EE6" w:rsidRDefault="001F67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25EE6" w:rsidRDefault="00525EE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UDALOSTI, KTORÉ NASTALI PO ZÁVIERKOVOM DNI</w:t>
      </w:r>
    </w:p>
    <w:p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</w:t>
      </w:r>
      <w:r>
        <w:rPr>
          <w:rFonts w:ascii="Arial Narrow" w:hAnsi="Arial Narrow" w:cs="Arial Narrow"/>
          <w:sz w:val="22"/>
          <w:szCs w:val="22"/>
        </w:rPr>
        <w:t>ľa § 17/5 ZoU) a ktoré nie sú zohľadnené v súvahe alebo vo výkaze ziskov a strát, napríklad: -</w:t>
      </w: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</w:t>
      </w:r>
      <w:r>
        <w:rPr>
          <w:rFonts w:ascii="Arial Narrow" w:hAnsi="Arial Narrow" w:cs="Arial Narrow"/>
          <w:sz w:val="22"/>
          <w:szCs w:val="22"/>
        </w:rPr>
        <w:t xml:space="preserve"> ktorému sa zostavuje účtovná závierka do dňa zostavenia účtovnej závierky: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</w:t>
      </w:r>
      <w:r>
        <w:rPr>
          <w:rFonts w:ascii="Arial Narrow" w:hAnsi="Arial Narrow" w:cs="Arial Narrow"/>
          <w:sz w:val="22"/>
          <w:szCs w:val="22"/>
        </w:rPr>
        <w:t xml:space="preserve">tie alebo ukončenie činnosti časti účtovnej jednotky, napríklad odštepného závodu, organizačnej zložky, prevádzkarne: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</w:t>
      </w:r>
      <w:r>
        <w:rPr>
          <w:rFonts w:ascii="Arial Narrow" w:hAnsi="Arial Narrow" w:cs="Arial Narrow"/>
          <w:sz w:val="22"/>
          <w:szCs w:val="22"/>
        </w:rPr>
        <w:t xml:space="preserve">alosti, ak majú vplyv na hospodárenie účtovnej jednotky, napr. živelná pohroma: 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5EE6" w:rsidRDefault="00525EE6">
      <w:pPr>
        <w:jc w:val="both"/>
        <w:rPr>
          <w:rFonts w:ascii="Arial Narrow" w:hAnsi="Arial Narrow" w:cs="Arial Narrow"/>
          <w:sz w:val="22"/>
          <w:szCs w:val="22"/>
        </w:rPr>
      </w:pPr>
    </w:p>
    <w:p w:rsidR="00525EE6" w:rsidRDefault="001F67D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</w:t>
      </w:r>
      <w:r>
        <w:rPr>
          <w:rFonts w:ascii="Arial Narrow" w:hAnsi="Arial Narrow" w:cs="Arial Narrow"/>
          <w:sz w:val="22"/>
          <w:szCs w:val="22"/>
        </w:rPr>
        <w:t xml:space="preserve">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</w:t>
      </w:r>
      <w:r>
        <w:rPr>
          <w:rFonts w:ascii="Arial Narrow" w:hAnsi="Arial Narrow" w:cs="Arial Narrow"/>
          <w:sz w:val="22"/>
          <w:szCs w:val="22"/>
        </w:rPr>
        <w:t>§ 2a; § 18/9; § 19/6; § 48/3; § 50/6 PU).]</w:t>
      </w:r>
    </w:p>
    <w:p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525E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25EE6" w:rsidRDefault="00525EE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525EE6" w:rsidRDefault="001F67DD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</w:t>
      </w:r>
      <w:r>
        <w:rPr>
          <w:rFonts w:ascii="Arial Narrow" w:hAnsi="Arial Narrow" w:cs="Arial Narrow"/>
          <w:bCs/>
          <w:sz w:val="22"/>
          <w:szCs w:val="22"/>
        </w:rPr>
        <w:t>s orgánmi verejnej moci (§ 23d/6 ZoU):</w:t>
      </w:r>
    </w:p>
    <w:sectPr w:rsidR="00525EE6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F67DD">
      <w:r>
        <w:separator/>
      </w:r>
    </w:p>
  </w:endnote>
  <w:endnote w:type="continuationSeparator" w:id="0">
    <w:p w:rsidR="00000000" w:rsidRDefault="001F6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5EE6" w:rsidRDefault="001F67D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525EE6" w:rsidRDefault="00525E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F67DD">
      <w:r>
        <w:separator/>
      </w:r>
    </w:p>
  </w:footnote>
  <w:footnote w:type="continuationSeparator" w:id="0">
    <w:p w:rsidR="00000000" w:rsidRDefault="001F67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5EE6" w:rsidRDefault="001F67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47743972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2024104500</w:t>
    </w:r>
  </w:p>
  <w:p w:rsidR="00525EE6" w:rsidRDefault="00525EE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25EE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25EE6" w:rsidRDefault="001F67D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25EE6" w:rsidRDefault="00525EE6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25EE6" w:rsidRDefault="001F67D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5EE6" w:rsidRDefault="001F67DD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525EE6" w:rsidRDefault="00525E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67DD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5EE6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F3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20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FDEDB030-282B-411D-BBDE-DA5AAEA7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header" w:qFormat="1"/>
    <w:lsdException w:name="footer" w:uiPriority="99" w:qFormat="1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qFormat/>
  </w:style>
  <w:style w:type="character" w:customStyle="1" w:styleId="TextbublinyChar">
    <w:name w:val="Text bubliny Char"/>
    <w:basedOn w:val="Predvolenpsmoodseku"/>
    <w:link w:val="Textbubliny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A89E6-7B9C-4A5E-9A4B-5CC24AA9A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2770</Words>
  <Characters>16827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2024-02-07T09:14:00Z</cp:lastPrinted>
  <dcterms:created xsi:type="dcterms:W3CDTF">2024-02-07T09:14:00Z</dcterms:created>
  <dcterms:modified xsi:type="dcterms:W3CDTF">2024-02-07T09:14:00Z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55622FCF1BE142FD87CECA368FA05110</vt:lpwstr>
  </property>
</Properties>
</file>