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7D6C" w:rsidRDefault="0010032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DE7D6C" w:rsidRDefault="0010032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DE7D6C" w:rsidRDefault="0010032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DE7D6C" w:rsidRDefault="00DE7D6C">
      <w:pPr>
        <w:rPr>
          <w:rFonts w:ascii="Arial Narrow" w:hAnsi="Arial Narrow"/>
          <w:sz w:val="22"/>
          <w:szCs w:val="22"/>
        </w:rPr>
      </w:pPr>
    </w:p>
    <w:p w:rsidR="00DE7D6C" w:rsidRDefault="0010032B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DE7D6C" w:rsidRDefault="00DE7D6C">
      <w:pPr>
        <w:rPr>
          <w:rFonts w:ascii="Arial Narrow" w:hAnsi="Arial Narrow"/>
          <w:sz w:val="22"/>
          <w:szCs w:val="22"/>
        </w:rPr>
      </w:pPr>
    </w:p>
    <w:p w:rsidR="00DE7D6C" w:rsidRDefault="0010032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DE7D6C" w:rsidRDefault="00DE7D6C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DE7D6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E7D6C" w:rsidRDefault="0010032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Local Vibe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DE7D6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</w:t>
            </w:r>
            <w:r>
              <w:rPr>
                <w:rFonts w:ascii="Arial Narrow" w:hAnsi="Arial Narrow" w:cs="Arial Narrow"/>
                <w:sz w:val="22"/>
                <w:szCs w:val="22"/>
              </w:rPr>
              <w:t>pitálska 47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811 08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DE7D6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DE7D6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19.01.2018</w:t>
            </w:r>
          </w:p>
        </w:tc>
      </w:tr>
      <w:tr w:rsidR="00DE7D6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</w:rPr>
              <w:t>innosť cestovných agentúr</w:t>
            </w:r>
          </w:p>
        </w:tc>
      </w:tr>
      <w:tr w:rsidR="00DE7D6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DE7D6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E7D6C" w:rsidRDefault="0010032B" w:rsidP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DE7D6C" w:rsidRDefault="00DE7D6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7D6C" w:rsidRDefault="0010032B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DE7D6C" w:rsidRDefault="0010032B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</w:t>
      </w:r>
      <w:r>
        <w:rPr>
          <w:rFonts w:ascii="Arial Narrow" w:hAnsi="Arial Narrow" w:cs="Arial Narrow"/>
          <w:bCs/>
          <w:sz w:val="22"/>
          <w:szCs w:val="22"/>
        </w:rPr>
        <w:t xml:space="preserve">ol 8 000 000 eur a priemerný prepočítaný počet zamestnancov počas účtovného obdobia presiahol 10, ale nepresiahol 50).  </w:t>
      </w:r>
    </w:p>
    <w:p w:rsidR="00DE7D6C" w:rsidRDefault="00DE7D6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E7D6C">
        <w:tc>
          <w:tcPr>
            <w:tcW w:w="2197" w:type="dxa"/>
            <w:shd w:val="clear" w:color="auto" w:fill="auto"/>
          </w:tcPr>
          <w:p w:rsidR="00DE7D6C" w:rsidRDefault="001003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DE7D6C" w:rsidRDefault="001003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E7D6C" w:rsidRDefault="001003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E7D6C" w:rsidRDefault="001003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DE7D6C">
        <w:tc>
          <w:tcPr>
            <w:tcW w:w="2197" w:type="dxa"/>
            <w:shd w:val="clear" w:color="auto" w:fill="auto"/>
          </w:tcPr>
          <w:p w:rsidR="00DE7D6C" w:rsidRDefault="00100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DE7D6C" w:rsidRDefault="00100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10 438</w:t>
            </w:r>
          </w:p>
        </w:tc>
        <w:tc>
          <w:tcPr>
            <w:tcW w:w="3260" w:type="dxa"/>
            <w:shd w:val="clear" w:color="auto" w:fill="auto"/>
          </w:tcPr>
          <w:p w:rsidR="00DE7D6C" w:rsidRDefault="00100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6 726</w:t>
            </w:r>
          </w:p>
        </w:tc>
        <w:tc>
          <w:tcPr>
            <w:tcW w:w="1276" w:type="dxa"/>
            <w:shd w:val="clear" w:color="auto" w:fill="auto"/>
          </w:tcPr>
          <w:p w:rsidR="00DE7D6C" w:rsidRDefault="00100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E7D6C">
        <w:tc>
          <w:tcPr>
            <w:tcW w:w="2197" w:type="dxa"/>
            <w:shd w:val="clear" w:color="auto" w:fill="auto"/>
          </w:tcPr>
          <w:p w:rsidR="00DE7D6C" w:rsidRDefault="00100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Čistý 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obrat celkom</w:t>
            </w:r>
          </w:p>
        </w:tc>
        <w:tc>
          <w:tcPr>
            <w:tcW w:w="2835" w:type="dxa"/>
            <w:shd w:val="clear" w:color="auto" w:fill="auto"/>
          </w:tcPr>
          <w:p w:rsidR="00DE7D6C" w:rsidRDefault="00100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25 527</w:t>
            </w:r>
          </w:p>
        </w:tc>
        <w:tc>
          <w:tcPr>
            <w:tcW w:w="3260" w:type="dxa"/>
            <w:shd w:val="clear" w:color="auto" w:fill="auto"/>
          </w:tcPr>
          <w:p w:rsidR="00DE7D6C" w:rsidRDefault="00100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E7D6C" w:rsidRDefault="00100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E7D6C">
        <w:tc>
          <w:tcPr>
            <w:tcW w:w="2197" w:type="dxa"/>
            <w:shd w:val="clear" w:color="auto" w:fill="auto"/>
          </w:tcPr>
          <w:p w:rsidR="00DE7D6C" w:rsidRDefault="00100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E7D6C" w:rsidRDefault="00100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E7D6C" w:rsidRDefault="00100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E7D6C" w:rsidRDefault="00DE7D6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E7D6C" w:rsidRDefault="00DE7D6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DE7D6C" w:rsidRDefault="00DE7D6C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31.12.2022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13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.03.2023</w:t>
      </w:r>
    </w:p>
    <w:p w:rsidR="00DE7D6C" w:rsidRDefault="001003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DE7D6C" w:rsidRDefault="0010032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:rsidR="00DE7D6C" w:rsidRDefault="00DE7D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E7D6C" w:rsidRDefault="0010032B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s </w:t>
      </w:r>
      <w:r>
        <w:rPr>
          <w:rFonts w:ascii="Arial Narrow" w:hAnsi="Arial Narrow" w:cs="Arial Narrow"/>
          <w:b/>
          <w:bCs/>
          <w:sz w:val="22"/>
          <w:szCs w:val="22"/>
        </w:rPr>
        <w:t>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:rsidR="00DE7D6C" w:rsidRDefault="00DE7D6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DE7D6C" w:rsidRDefault="001003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:rsidR="00DE7D6C" w:rsidRDefault="00DE7D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E7D6C" w:rsidRDefault="00DE7D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E7D6C" w:rsidRDefault="00DE7D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E7D6C" w:rsidRDefault="001003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DE7D6C">
        <w:trPr>
          <w:trHeight w:val="537"/>
        </w:trPr>
        <w:tc>
          <w:tcPr>
            <w:tcW w:w="2492" w:type="pct"/>
            <w:vAlign w:val="center"/>
          </w:tcPr>
          <w:p w:rsidR="00DE7D6C" w:rsidRDefault="0010032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DE7D6C" w:rsidRDefault="001003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DE7D6C" w:rsidRDefault="001003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čtovné obdobie</w:t>
            </w:r>
          </w:p>
        </w:tc>
      </w:tr>
      <w:tr w:rsidR="00DE7D6C">
        <w:trPr>
          <w:trHeight w:val="163"/>
        </w:trPr>
        <w:tc>
          <w:tcPr>
            <w:tcW w:w="2492" w:type="pct"/>
            <w:vAlign w:val="bottom"/>
          </w:tcPr>
          <w:p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E7D6C" w:rsidRDefault="00DE7D6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E7D6C" w:rsidRDefault="00DE7D6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E7D6C" w:rsidRDefault="0010032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DE7D6C" w:rsidRDefault="00DE7D6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E7D6C" w:rsidRDefault="0010032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:rsidR="00DE7D6C" w:rsidRDefault="0010032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DE7D6C" w:rsidRDefault="0010032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</w:t>
      </w:r>
      <w:r>
        <w:rPr>
          <w:rFonts w:ascii="Arial Narrow" w:hAnsi="Arial Narrow" w:cs="Arial Narrow"/>
          <w:bCs/>
          <w:sz w:val="22"/>
          <w:szCs w:val="22"/>
        </w:rPr>
        <w:t xml:space="preserve"> a výške iných zabezpečení: žiadne</w:t>
      </w:r>
    </w:p>
    <w:p w:rsidR="00DE7D6C" w:rsidRDefault="0010032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:rsidR="00DE7D6C" w:rsidRDefault="0010032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:rsidR="00DE7D6C" w:rsidRDefault="00DE7D6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E7D6C" w:rsidRDefault="00DE7D6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E7D6C" w:rsidRDefault="0010032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DE7D6C" w:rsidRDefault="00DE7D6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7D6C" w:rsidRDefault="0010032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Spoločnosť zostavila účtovnú závierku za spln</w:t>
      </w:r>
      <w:r>
        <w:rPr>
          <w:rFonts w:ascii="Arial Narrow" w:hAnsi="Arial Narrow" w:cs="Arial Narrow"/>
          <w:sz w:val="22"/>
          <w:szCs w:val="22"/>
        </w:rPr>
        <w:t xml:space="preserve">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DE7D6C" w:rsidRDefault="00DE7D6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E7D6C" w:rsidRDefault="0010032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Spoločnosť aplikovala účtovné zásady a účtovné metódy, ktoré sú dôležité na posúden</w:t>
      </w:r>
      <w:r>
        <w:rPr>
          <w:rFonts w:ascii="Arial Narrow" w:hAnsi="Arial Narrow" w:cs="Arial Narrow"/>
          <w:sz w:val="22"/>
          <w:szCs w:val="22"/>
        </w:rPr>
        <w:t xml:space="preserve">ie majetku, záväzkov, finančnej situácie a výsledku hospodárenia konzistentne. </w:t>
      </w:r>
    </w:p>
    <w:p w:rsidR="00DE7D6C" w:rsidRDefault="00DE7D6C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E7D6C" w:rsidRDefault="0010032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</w:t>
      </w:r>
      <w:r>
        <w:rPr>
          <w:rFonts w:ascii="Arial Narrow" w:hAnsi="Arial Narrow" w:cs="Arial Narrow"/>
          <w:sz w:val="22"/>
          <w:szCs w:val="22"/>
        </w:rPr>
        <w:t xml:space="preserve">dne spory, zmluvy, časovo limitované licencie a oprávnenia, podnikové kombinácie, záväzky investovať, dopad legislatívy, celkový pokles v hospodárskom segmente):    </w:t>
      </w:r>
    </w:p>
    <w:p w:rsidR="00DE7D6C" w:rsidRDefault="00DE7D6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E7D6C" w:rsidRDefault="0010032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DE7D6C" w:rsidRDefault="0010032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</w:t>
      </w:r>
      <w:r>
        <w:rPr>
          <w:rFonts w:ascii="Arial Narrow" w:hAnsi="Arial Narrow" w:cs="Arial Narrow"/>
          <w:sz w:val="22"/>
          <w:szCs w:val="22"/>
        </w:rPr>
        <w:t>sob oceňovania majetku a záväzkov (§ 25 ZoU):</w:t>
      </w:r>
    </w:p>
    <w:p w:rsidR="00DE7D6C" w:rsidRDefault="00DE7D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DE7D6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DE7D6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E7D6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E7D6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obstaraný inak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DE7D6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E7D6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E7D6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DE7D6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E7D6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E7D6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E7D6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DE7D6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E7D6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E7D6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E7D6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E7D6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E7D6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E7D6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E7D6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E7D6C">
        <w:tc>
          <w:tcPr>
            <w:tcW w:w="706" w:type="dxa"/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E7D6C">
        <w:tc>
          <w:tcPr>
            <w:tcW w:w="706" w:type="dxa"/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Prenajatý </w:t>
            </w:r>
            <w:r>
              <w:rPr>
                <w:rFonts w:ascii="Arial Narrow" w:hAnsi="Arial Narrow" w:cs="Arial"/>
                <w:sz w:val="22"/>
                <w:szCs w:val="22"/>
              </w:rPr>
              <w:t>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E7D6C">
        <w:tc>
          <w:tcPr>
            <w:tcW w:w="706" w:type="dxa"/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DE7D6C" w:rsidRDefault="00DE7D6C">
      <w:pPr>
        <w:jc w:val="both"/>
        <w:rPr>
          <w:rFonts w:ascii="Arial Narrow" w:hAnsi="Arial Narrow" w:cs="Arial Narrow"/>
          <w:sz w:val="22"/>
          <w:szCs w:val="22"/>
        </w:rPr>
      </w:pPr>
    </w:p>
    <w:p w:rsidR="00DE7D6C" w:rsidRDefault="001003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</w:t>
      </w:r>
      <w:r>
        <w:rPr>
          <w:rFonts w:ascii="Arial Narrow" w:hAnsi="Arial Narrow" w:cs="Arial Narrow"/>
          <w:sz w:val="22"/>
          <w:szCs w:val="22"/>
        </w:rPr>
        <w:t xml:space="preserve">vané formou opravnej položky stanovené odborným odhadom bonity klienta. </w:t>
      </w:r>
    </w:p>
    <w:p w:rsidR="00DE7D6C" w:rsidRDefault="001003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:rsidR="00DE7D6C" w:rsidRDefault="001003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DE7D6C" w:rsidRDefault="001003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DE7D6C" w:rsidRDefault="0010032B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</w:t>
      </w:r>
      <w:r>
        <w:rPr>
          <w:rFonts w:ascii="Arial Narrow" w:hAnsi="Arial Narrow"/>
          <w:sz w:val="22"/>
          <w:szCs w:val="22"/>
          <w:u w:val="single"/>
        </w:rPr>
        <w:t>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DE7D6C" w:rsidRDefault="0010032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</w:t>
      </w:r>
      <w:r>
        <w:rPr>
          <w:rFonts w:ascii="Arial Narrow" w:hAnsi="Arial Narrow" w:cs="Arial Narrow"/>
          <w:sz w:val="22"/>
          <w:szCs w:val="22"/>
        </w:rPr>
        <w:t>ukážky, vkladové listy).</w:t>
      </w:r>
    </w:p>
    <w:p w:rsidR="00DE7D6C" w:rsidRDefault="0010032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DE7D6C" w:rsidRDefault="0010032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</w:t>
      </w:r>
      <w:r>
        <w:rPr>
          <w:rFonts w:ascii="Arial Narrow" w:hAnsi="Arial Narrow" w:cs="Arial Narrow"/>
          <w:sz w:val="22"/>
          <w:szCs w:val="22"/>
          <w:u w:val="single"/>
        </w:rPr>
        <w:t>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DE7D6C" w:rsidRDefault="0010032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DE7D6C" w:rsidRDefault="0010032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DE7D6C" w:rsidRDefault="0010032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</w:t>
      </w:r>
      <w:r>
        <w:rPr>
          <w:rFonts w:ascii="Arial Narrow" w:hAnsi="Arial Narrow" w:cs="Arial Narrow"/>
          <w:sz w:val="22"/>
          <w:szCs w:val="22"/>
        </w:rPr>
        <w:t>; § 22/1 PU).</w:t>
      </w:r>
    </w:p>
    <w:p w:rsidR="00DE7D6C" w:rsidRDefault="0010032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DE7D6C" w:rsidRDefault="0010032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</w:t>
      </w:r>
      <w:r>
        <w:rPr>
          <w:rFonts w:ascii="Arial Narrow" w:hAnsi="Arial Narrow" w:cs="Arial Narrow"/>
          <w:sz w:val="22"/>
          <w:szCs w:val="22"/>
        </w:rPr>
        <w:t>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DE7D6C" w:rsidRDefault="001003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E7D6C" w:rsidRDefault="00DE7D6C"/>
    <w:p w:rsidR="00DE7D6C" w:rsidRDefault="0010032B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DE7D6C">
        <w:tc>
          <w:tcPr>
            <w:tcW w:w="4218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DE7D6C" w:rsidRDefault="00100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DE7D6C" w:rsidRDefault="00100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DE7D6C" w:rsidRDefault="00100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DE7D6C" w:rsidRDefault="00100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DE7D6C">
        <w:tc>
          <w:tcPr>
            <w:tcW w:w="4218" w:type="dxa"/>
          </w:tcPr>
          <w:p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E7D6C">
        <w:tc>
          <w:tcPr>
            <w:tcW w:w="4218" w:type="dxa"/>
          </w:tcPr>
          <w:p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E7D6C">
        <w:tc>
          <w:tcPr>
            <w:tcW w:w="4218" w:type="dxa"/>
          </w:tcPr>
          <w:p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DE7D6C">
        <w:tc>
          <w:tcPr>
            <w:tcW w:w="4218" w:type="dxa"/>
          </w:tcPr>
          <w:p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Počítače </w:t>
            </w:r>
            <w:r>
              <w:rPr>
                <w:rFonts w:ascii="Arial Narrow" w:hAnsi="Arial Narrow" w:cs="Arial"/>
                <w:sz w:val="22"/>
                <w:szCs w:val="22"/>
              </w:rPr>
              <w:t>s príslušenstvom</w:t>
            </w:r>
          </w:p>
        </w:tc>
        <w:tc>
          <w:tcPr>
            <w:tcW w:w="1013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E7D6C">
        <w:tc>
          <w:tcPr>
            <w:tcW w:w="4218" w:type="dxa"/>
          </w:tcPr>
          <w:p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DE7D6C">
        <w:tc>
          <w:tcPr>
            <w:tcW w:w="4218" w:type="dxa"/>
          </w:tcPr>
          <w:p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E7D6C">
        <w:tc>
          <w:tcPr>
            <w:tcW w:w="4218" w:type="dxa"/>
          </w:tcPr>
          <w:p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DE7D6C" w:rsidRDefault="0010032B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DE7D6C" w:rsidRDefault="00DE7D6C">
      <w:pPr>
        <w:jc w:val="both"/>
        <w:rPr>
          <w:rFonts w:ascii="Arial Narrow" w:hAnsi="Arial Narrow" w:cs="Arial"/>
          <w:sz w:val="22"/>
          <w:szCs w:val="22"/>
        </w:rPr>
      </w:pPr>
    </w:p>
    <w:p w:rsidR="00DE7D6C" w:rsidRDefault="00DE7D6C">
      <w:pPr>
        <w:jc w:val="both"/>
        <w:rPr>
          <w:rFonts w:ascii="Arial Narrow" w:hAnsi="Arial Narrow" w:cs="Arial"/>
          <w:sz w:val="22"/>
          <w:szCs w:val="22"/>
        </w:rPr>
      </w:pPr>
    </w:p>
    <w:p w:rsidR="00DE7D6C" w:rsidRDefault="0010032B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DE7D6C" w:rsidRDefault="0010032B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DE7D6C" w:rsidRDefault="0010032B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</w:t>
      </w:r>
      <w:r>
        <w:rPr>
          <w:rFonts w:ascii="Arial Narrow" w:hAnsi="Arial Narrow" w:cs="Arial"/>
          <w:sz w:val="22"/>
          <w:szCs w:val="22"/>
        </w:rPr>
        <w:t xml:space="preserve">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DE7D6C" w:rsidRDefault="0010032B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</w:t>
      </w:r>
      <w:r>
        <w:rPr>
          <w:rFonts w:ascii="Arial Narrow" w:hAnsi="Arial Narrow" w:cs="Arial"/>
          <w:sz w:val="22"/>
          <w:szCs w:val="22"/>
          <w:u w:val="single"/>
        </w:rPr>
        <w:t>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DE7D6C" w:rsidRDefault="0010032B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</w:t>
      </w:r>
      <w:r>
        <w:rPr>
          <w:rFonts w:ascii="Arial Narrow" w:hAnsi="Arial Narrow" w:cs="Arial Narrow"/>
          <w:sz w:val="22"/>
          <w:szCs w:val="22"/>
        </w:rPr>
        <w:t xml:space="preserve"> PU).</w:t>
      </w:r>
    </w:p>
    <w:p w:rsidR="00DE7D6C" w:rsidRDefault="0010032B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DE7D6C" w:rsidRDefault="0010032B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</w:t>
      </w:r>
      <w:r>
        <w:rPr>
          <w:rFonts w:ascii="Arial Narrow" w:hAnsi="Arial Narrow"/>
          <w:sz w:val="22"/>
          <w:szCs w:val="22"/>
        </w:rPr>
        <w:t>ivotnosťou nad jeden rok (§ 13/6 PU).</w:t>
      </w:r>
    </w:p>
    <w:p w:rsidR="00DE7D6C" w:rsidRDefault="0010032B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DE7D6C" w:rsidRDefault="0010032B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</w:t>
      </w:r>
      <w:r>
        <w:rPr>
          <w:rFonts w:ascii="Arial Narrow" w:hAnsi="Arial Narrow" w:cs="Arial Narrow"/>
          <w:sz w:val="22"/>
          <w:szCs w:val="22"/>
          <w:u w:val="single"/>
        </w:rPr>
        <w:t>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DE7D6C" w:rsidRDefault="00DE7D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E7D6C" w:rsidRDefault="0010032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DE7D6C" w:rsidRDefault="00DE7D6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DE7D6C" w:rsidRDefault="0010032B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DE7D6C">
        <w:tc>
          <w:tcPr>
            <w:tcW w:w="1601" w:type="pct"/>
            <w:shd w:val="clear" w:color="auto" w:fill="auto"/>
          </w:tcPr>
          <w:p w:rsidR="00DE7D6C" w:rsidRDefault="0010032B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DE7D6C" w:rsidRDefault="0010032B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DE7D6C" w:rsidRDefault="0010032B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DE7D6C" w:rsidRDefault="0010032B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DE7D6C" w:rsidRDefault="0010032B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DE7D6C">
        <w:tc>
          <w:tcPr>
            <w:tcW w:w="1601" w:type="pct"/>
            <w:shd w:val="clear" w:color="auto" w:fill="auto"/>
          </w:tcPr>
          <w:p w:rsidR="00DE7D6C" w:rsidRDefault="00DE7D6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DE7D6C" w:rsidRDefault="00DE7D6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DE7D6C" w:rsidRDefault="00DE7D6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DE7D6C" w:rsidRDefault="00DE7D6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DE7D6C" w:rsidRDefault="00DE7D6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E7D6C">
        <w:tc>
          <w:tcPr>
            <w:tcW w:w="1601" w:type="pct"/>
            <w:shd w:val="clear" w:color="auto" w:fill="auto"/>
          </w:tcPr>
          <w:p w:rsidR="00DE7D6C" w:rsidRDefault="00DE7D6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DE7D6C" w:rsidRDefault="00DE7D6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DE7D6C" w:rsidRDefault="00DE7D6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DE7D6C" w:rsidRDefault="00DE7D6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DE7D6C" w:rsidRDefault="00DE7D6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E7D6C" w:rsidRDefault="00DE7D6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E7D6C" w:rsidRDefault="00DE7D6C">
      <w:pPr>
        <w:jc w:val="both"/>
        <w:rPr>
          <w:rFonts w:ascii="Arial Narrow" w:hAnsi="Arial Narrow" w:cs="Arial Narrow"/>
          <w:sz w:val="22"/>
          <w:szCs w:val="22"/>
        </w:rPr>
      </w:pPr>
    </w:p>
    <w:p w:rsidR="00DE7D6C" w:rsidRDefault="0010032B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DE7D6C" w:rsidRDefault="00DE7D6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E7D6C" w:rsidRDefault="0010032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záväzkov so zostatkovou </w:t>
      </w:r>
      <w:r>
        <w:rPr>
          <w:rFonts w:ascii="Arial Narrow" w:hAnsi="Arial Narrow" w:cs="Arial Narrow"/>
          <w:sz w:val="22"/>
          <w:szCs w:val="22"/>
          <w:u w:val="single"/>
        </w:rPr>
        <w:t>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DE7D6C">
        <w:trPr>
          <w:trHeight w:val="693"/>
          <w:jc w:val="center"/>
        </w:trPr>
        <w:tc>
          <w:tcPr>
            <w:tcW w:w="2463" w:type="pct"/>
            <w:vAlign w:val="center"/>
          </w:tcPr>
          <w:p w:rsidR="00DE7D6C" w:rsidRDefault="0010032B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DE7D6C" w:rsidRDefault="0010032B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DE7D6C" w:rsidRDefault="0010032B">
            <w:pPr>
              <w:pStyle w:val="TopHeader"/>
            </w:pPr>
            <w:r>
              <w:t>Bezprostredne predchádzajúce účtovné obdobie</w:t>
            </w:r>
          </w:p>
        </w:tc>
      </w:tr>
      <w:tr w:rsidR="00DE7D6C">
        <w:trPr>
          <w:trHeight w:val="207"/>
          <w:jc w:val="center"/>
        </w:trPr>
        <w:tc>
          <w:tcPr>
            <w:tcW w:w="2463" w:type="pct"/>
            <w:vAlign w:val="center"/>
          </w:tcPr>
          <w:p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DE7D6C" w:rsidRDefault="00DE7D6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DE7D6C" w:rsidRDefault="00DE7D6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DE7D6C" w:rsidRDefault="0010032B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alebo jeho časti – je rozdiel </w:t>
      </w:r>
      <w:r>
        <w:rPr>
          <w:rFonts w:ascii="Arial Narrow" w:hAnsi="Arial Narrow" w:cs="Arial Narrow"/>
          <w:sz w:val="22"/>
          <w:szCs w:val="22"/>
        </w:rPr>
        <w:t>medzi dohodnutou dobou splatnosti záväzkov a závierkovým dňom (§ 12 PU).]</w:t>
      </w:r>
    </w:p>
    <w:p w:rsidR="00DE7D6C" w:rsidRDefault="00DE7D6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E7D6C" w:rsidRDefault="00DE7D6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DE7D6C" w:rsidRDefault="00DE7D6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DE7D6C" w:rsidRDefault="00DE7D6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DE7D6C" w:rsidRDefault="0010032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DE7D6C" w:rsidRDefault="0010032B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:rsidR="00DE7D6C" w:rsidRDefault="00DE7D6C">
      <w:pPr>
        <w:jc w:val="both"/>
        <w:rPr>
          <w:rFonts w:ascii="Arial Narrow" w:hAnsi="Arial Narrow" w:cs="Arial Narrow"/>
          <w:sz w:val="22"/>
          <w:szCs w:val="22"/>
        </w:rPr>
      </w:pPr>
    </w:p>
    <w:p w:rsidR="00DE7D6C" w:rsidRDefault="001003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:rsidR="00DE7D6C" w:rsidRDefault="00DE7D6C">
      <w:pPr>
        <w:jc w:val="both"/>
        <w:rPr>
          <w:rFonts w:ascii="Arial Narrow" w:hAnsi="Arial Narrow" w:cs="Arial Narrow"/>
          <w:sz w:val="22"/>
          <w:szCs w:val="22"/>
        </w:rPr>
      </w:pPr>
    </w:p>
    <w:p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</w:t>
      </w:r>
      <w:r>
        <w:rPr>
          <w:rFonts w:ascii="Arial Narrow" w:hAnsi="Arial Narrow" w:cs="Arial Narrow"/>
          <w:sz w:val="22"/>
          <w:szCs w:val="22"/>
        </w:rPr>
        <w:t>tovných výkazoch - napríklad zákonná povinnosť alebo zmluvná povinnosť odobrať určité množstvo produktu, uskutočniť investície a veľké opravy: žiadne</w:t>
      </w:r>
    </w:p>
    <w:p w:rsidR="00DE7D6C" w:rsidRDefault="00DE7D6C">
      <w:pPr>
        <w:jc w:val="both"/>
        <w:rPr>
          <w:rFonts w:ascii="Arial Narrow" w:hAnsi="Arial Narrow" w:cs="Arial Narrow"/>
          <w:sz w:val="22"/>
          <w:szCs w:val="22"/>
        </w:rPr>
      </w:pPr>
    </w:p>
    <w:p w:rsidR="00DE7D6C" w:rsidRDefault="001003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DE7D6C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DE7D6C" w:rsidRDefault="0010032B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DE7D6C" w:rsidRDefault="0010032B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DE7D6C" w:rsidRDefault="0010032B">
            <w:pPr>
              <w:pStyle w:val="TopHeader"/>
            </w:pPr>
            <w:r>
              <w:t>Bezprostredne predchádzajúce účtovné obdobie</w:t>
            </w:r>
          </w:p>
        </w:tc>
      </w:tr>
      <w:tr w:rsidR="00DE7D6C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E7D6C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E7D6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</w:t>
            </w:r>
            <w:r>
              <w:rPr>
                <w:rFonts w:ascii="Arial Narrow" w:hAnsi="Arial Narrow"/>
                <w:sz w:val="22"/>
                <w:szCs w:val="22"/>
              </w:rPr>
              <w:t xml:space="preserve"> z opcií</w:t>
            </w:r>
          </w:p>
        </w:tc>
        <w:tc>
          <w:tcPr>
            <w:tcW w:w="1701" w:type="dxa"/>
            <w:noWrap/>
            <w:vAlign w:val="center"/>
          </w:tcPr>
          <w:p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E7D6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DE7D6C" w:rsidRDefault="00DE7D6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DE7D6C" w:rsidRDefault="00DE7D6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7D6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DE7D6C" w:rsidRDefault="00DE7D6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DE7D6C" w:rsidRDefault="00DE7D6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7D6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DE7D6C" w:rsidRDefault="00DE7D6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DE7D6C" w:rsidRDefault="00DE7D6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E7D6C" w:rsidRDefault="00DE7D6C">
      <w:pPr>
        <w:jc w:val="both"/>
        <w:rPr>
          <w:rFonts w:ascii="Arial Narrow" w:hAnsi="Arial Narrow" w:cs="Arial Narrow"/>
          <w:sz w:val="22"/>
          <w:szCs w:val="22"/>
        </w:rPr>
      </w:pPr>
    </w:p>
    <w:p w:rsidR="00DE7D6C" w:rsidRDefault="00DE7D6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E7D6C" w:rsidRDefault="0010032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DE7D6C" w:rsidRDefault="0010032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E7D6C" w:rsidRDefault="00DE7D6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E7D6C" w:rsidRDefault="001003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závierkovom dni do času </w:t>
      </w:r>
      <w:r>
        <w:rPr>
          <w:rFonts w:ascii="Arial Narrow" w:hAnsi="Arial Narrow" w:cs="Arial Narrow"/>
          <w:sz w:val="22"/>
          <w:szCs w:val="22"/>
        </w:rPr>
        <w:t>zostavenia účtovnej závierky nastali významné udalosti, ktoré by mali významný finančný vplyv (t.j. do dňa podpísania výkazov podľa § 17/5 ZoU) a ktoré nie sú zohľadnené v súvahe alebo vo výkaze ziskov a strát.</w:t>
      </w:r>
    </w:p>
    <w:p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Pokles alebo zvýšenie trhovej ceny finančn</w:t>
      </w:r>
      <w:r>
        <w:rPr>
          <w:rFonts w:ascii="Arial Narrow" w:hAnsi="Arial Narrow" w:cs="Arial Narrow"/>
          <w:sz w:val="22"/>
          <w:szCs w:val="22"/>
        </w:rPr>
        <w:t xml:space="preserve">ého majetku </w:t>
      </w:r>
    </w:p>
    <w:p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Začatie alebo u</w:t>
      </w:r>
      <w:r>
        <w:rPr>
          <w:rFonts w:ascii="Arial Narrow" w:hAnsi="Arial Narrow" w:cs="Arial Narrow"/>
          <w:sz w:val="22"/>
          <w:szCs w:val="22"/>
        </w:rPr>
        <w:t xml:space="preserve">končenie činnosti časti účtovnej jednotky, napríklad odštepného závodu, organizačnej zložky, prevádzkarne: </w:t>
      </w:r>
    </w:p>
    <w:p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DE7D6C" w:rsidRDefault="00DE7D6C">
      <w:pPr>
        <w:jc w:val="both"/>
        <w:rPr>
          <w:rFonts w:ascii="Arial Narrow" w:hAnsi="Arial Narrow" w:cs="Arial Narrow"/>
          <w:sz w:val="22"/>
          <w:szCs w:val="22"/>
        </w:rPr>
      </w:pPr>
    </w:p>
    <w:p w:rsidR="00DE7D6C" w:rsidRDefault="00DE7D6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E7D6C" w:rsidRDefault="0010032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DE7D6C" w:rsidRDefault="00DE7D6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7D6C" w:rsidRDefault="0010032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</w:t>
      </w:r>
      <w:r>
        <w:rPr>
          <w:rFonts w:ascii="Arial Narrow" w:hAnsi="Arial Narrow" w:cs="Arial Narrow"/>
          <w:bCs/>
          <w:sz w:val="22"/>
          <w:szCs w:val="22"/>
        </w:rPr>
        <w:t xml:space="preserve"> práve poskytovať služby vo verejnom záujme: NIE</w:t>
      </w:r>
    </w:p>
    <w:p w:rsidR="00DE7D6C" w:rsidRDefault="0010032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 NIE</w:t>
      </w:r>
    </w:p>
    <w:p w:rsidR="00DE7D6C" w:rsidRDefault="0010032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 NIE</w:t>
      </w:r>
    </w:p>
    <w:sectPr w:rsidR="00DE7D6C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10032B">
      <w:r>
        <w:separator/>
      </w:r>
    </w:p>
  </w:endnote>
  <w:endnote w:type="continuationSeparator" w:id="0">
    <w:p w:rsidR="00000000" w:rsidRDefault="001003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7D6C" w:rsidRDefault="0010032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DE7D6C" w:rsidRDefault="00DE7D6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10032B">
      <w:r>
        <w:separator/>
      </w:r>
    </w:p>
  </w:footnote>
  <w:footnote w:type="continuationSeparator" w:id="0">
    <w:p w:rsidR="00000000" w:rsidRDefault="001003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7D6C" w:rsidRDefault="0010032B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51297442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 xml:space="preserve">2120681321 </w:t>
    </w:r>
  </w:p>
  <w:p w:rsidR="00DE7D6C" w:rsidRDefault="00DE7D6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E7D6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E7D6C" w:rsidRDefault="0010032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E7D6C" w:rsidRDefault="00DE7D6C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E7D6C" w:rsidRDefault="0010032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6C" w:rsidRDefault="0010032B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6C" w:rsidRDefault="0010032B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6C" w:rsidRDefault="0010032B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6C" w:rsidRDefault="0010032B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6C" w:rsidRDefault="0010032B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6C" w:rsidRDefault="0010032B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6C" w:rsidRDefault="0010032B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6C" w:rsidRDefault="0010032B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6C" w:rsidRDefault="0010032B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6C" w:rsidRDefault="0010032B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DE7D6C" w:rsidRDefault="00DE7D6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32B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4FF9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47CC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5ABA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2F92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39A"/>
    <w:rsid w:val="00AF51AA"/>
    <w:rsid w:val="00AF6469"/>
    <w:rsid w:val="00B00ECD"/>
    <w:rsid w:val="00B05037"/>
    <w:rsid w:val="00B0608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42B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7D6C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1B0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877D7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4F6C"/>
    <w:rsid w:val="00FF0436"/>
    <w:rsid w:val="00FF1C1B"/>
    <w:rsid w:val="00FF230B"/>
    <w:rsid w:val="00FF50C7"/>
    <w:rsid w:val="00FF67E6"/>
    <w:rsid w:val="09DA50BD"/>
    <w:rsid w:val="71691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D38ED4AE-9441-4317-A477-5C5E40B51E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 w:qFormat="1"/>
    <w:lsdException w:name="footer" w:uiPriority="99" w:qFormat="1"/>
    <w:lsdException w:name="caption" w:locked="1" w:semiHidden="1" w:unhideWhenUsed="1" w:qFormat="1"/>
    <w:lsdException w:name="footnote reference" w:semiHidden="1"/>
    <w:lsdException w:name="page number" w:qFormat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Sample" w:semiHidden="1" w:unhideWhenUsed="1"/>
    <w:lsdException w:name="HTML Variable" w:semiHidden="1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qFormat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qFormat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qFormat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qFormat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qFormat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qFormat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qFormat/>
    <w:locked/>
    <w:rPr>
      <w:sz w:val="20"/>
      <w:szCs w:val="20"/>
    </w:rPr>
  </w:style>
  <w:style w:type="character" w:customStyle="1" w:styleId="PtaChar">
    <w:name w:val="Päta Char"/>
    <w:link w:val="Pta"/>
    <w:uiPriority w:val="99"/>
    <w:qFormat/>
    <w:locked/>
    <w:rPr>
      <w:sz w:val="24"/>
      <w:szCs w:val="24"/>
    </w:rPr>
  </w:style>
  <w:style w:type="character" w:customStyle="1" w:styleId="NzovChar">
    <w:name w:val="Názov Char"/>
    <w:link w:val="Nzov"/>
    <w:uiPriority w:val="99"/>
    <w:qFormat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qFormat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qFormat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21DD3F-E850-4AF0-9EC1-6CEE493F76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1636</Words>
  <Characters>10157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2024-02-28T15:20:00Z</cp:lastPrinted>
  <dcterms:created xsi:type="dcterms:W3CDTF">2024-02-28T15:20:00Z</dcterms:created>
  <dcterms:modified xsi:type="dcterms:W3CDTF">2024-02-28T15:20:00Z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27785979C2734B9FBD0C62401745B52B</vt:lpwstr>
  </property>
</Properties>
</file>