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Default Extension="bmp" ContentType="image/bmp"/>
  <Default Extension="emf" ContentType="image/x-emf"/>
  <Default Extension="wmf" ContentType="image/x-wmf"/>
  <Default Extension="gif" ContentType="image/gif"/>
  <Default Extension="ico" ContentType="image/x-icon"/>
  <Default Extension="tif" ContentType="image/tiff"/>
  <Default Extension="tiff" ContentType="image/tiff"/>
  <Default Extension="jpeg" ContentType="image/jpeg"/>
  <Default Extension="jpg" ContentType="image/jpeg"/>
  <Default Extension="svg" ContentType="image/svg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0="urn:schemas-microsoft-com:office:word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Poznámky ÚČ MÚJ 3-01   IČO: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47687550</w:t>
      </w: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            DIČ: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2024050512</w:t>
      </w: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Rok 20</w:t>
      </w: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2</w:t>
      </w: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1</w:t>
      </w:r>
    </w:p>
    <w:p>
      <w:pPr>
        <w:numPr>
          <w:ilvl w:val="0"/>
          <w:numId w:val="6"/>
        </w:numPr>
        <w:bidi w:val="false"/>
        <w:spacing w:before="95" w:after="0" w:line="240" w:lineRule="auto"/>
        <w:ind w:left="697" w:right="0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Názov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právnickej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osoby: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ab/>
        <w:t xml:space="preserve"/>
      </w:r>
      <w:r>
        <w:rPr>
          <w:rFonts w:ascii="Arial" w:hAnsi="Arial" w:eastAsia="Arial" w:cs="Calibri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MATBUILD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s.r.o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.</w:t>
      </w:r>
    </w:p>
    <w:p>
      <w:pPr>
        <w:bidi w:val="false"/>
        <w:spacing w:before="38" w:after="0" w:line="240" w:lineRule="auto"/>
        <w:ind w:left="697" w:right="0" w:firstLine="0"/>
        <w:jc w:val="both"/>
        <w:rPr>
          <w:rFonts w:ascii="Arial" w:hAnsi="Arial" w:eastAsia="Arial" w:cs="Calibri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Sídlo: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ab/>
        <w:t xml:space="preserve"/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076 </w:t>
      </w:r>
      <w:r>
        <w:rPr>
          <w:rFonts w:ascii="Arial" w:hAnsi="Arial" w:eastAsia="Arial" w:cs="Calibri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36 Malý Kamenec, Malý Kamenec 31</w:t>
      </w: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7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6"/>
        </w:numPr>
        <w:bidi w:val="false"/>
        <w:spacing w:before="0" w:after="0" w:line="240" w:lineRule="auto"/>
        <w:ind w:left="697" w:right="0" w:hanging="548"/>
        <w:jc w:val="left"/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Informácie o konsolidovanom celku, ak je účtovná jednotka jeho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súčasťou:</w:t>
      </w:r>
    </w:p>
    <w:p>
      <w:pPr>
        <w:bidi w:val="false"/>
        <w:spacing w:before="1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8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1"/>
          <w:numId w:val="6"/>
        </w:numPr>
        <w:bidi w:val="false"/>
        <w:spacing w:before="0" w:after="0" w:line="256" w:lineRule="auto"/>
        <w:ind w:left="697" w:right="174" w:hanging="548"/>
        <w:jc w:val="both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Obchodné meno a sídlo konsolidujúcej účtovnej jednotky, ktorá zostavuje konsolidovanú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účtovnú závierku za tú skupinu účtovných jednotiek konsolidovaného celku, ktorého súčasťou je aj účtovná jednotka; uvádza sa aj obc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h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odné meno a sídlo účtovnej jednotky, ktorá je bezprostredne konsolidujúcou účtovnou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jednotkou:</w:t>
      </w: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10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13"/>
          <w:szCs w:val="22"/>
          <w:vertAlign w:val="baseline"/>
          <w:rtl w:val="0"/>
          <w:lang w:val="sk-SK" w:eastAsia="sk-SK" w:bidi="sk-SK"/>
        </w:rPr>
      </w:pPr>
      <w:r>
        <w:rPr/>
        <w:drawing>
          <wp:inline>
            <wp:extent cx="6017680" cy="12287"/>
            <wp:docPr id="1" name="Picture 1" title="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false"/>
        <w:spacing w:before="5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1"/>
          <w:numId w:val="6"/>
        </w:numPr>
        <w:bidi w:val="false"/>
        <w:spacing w:before="0" w:after="0" w:line="252" w:lineRule="auto"/>
        <w:ind w:left="697" w:right="177" w:hanging="548"/>
        <w:jc w:val="both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Oslobodenie materskej účtovnej jednotky od povinnosti zostavenia konsolidovanej účtovnej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závierky a konsolidovanej výročnej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správy</w:t>
      </w:r>
    </w:p>
    <w:p>
      <w:pPr>
        <w:bidi w:val="false"/>
        <w:spacing w:before="5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7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1" w:after="0" w:line="240" w:lineRule="auto"/>
        <w:ind w:left="299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/>
        <w:drawing>
          <wp:inline>
            <wp:extent cx="242316" cy="213359"/>
            <wp:docPr id="2" name="Picture 2" title="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V zmysle § 22 ods. 8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ZoÚ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(oslobodenie od konsolidácie na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medzistupni):</w:t>
      </w:r>
    </w:p>
    <w:p>
      <w:pPr>
        <w:bidi w:val="false"/>
        <w:spacing w:before="242" w:after="0" w:line="259" w:lineRule="auto"/>
        <w:ind w:left="697" w:right="175" w:firstLine="0"/>
        <w:jc w:val="both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Obchodné meno a sídlo materskej účtovnej jednotky zostavujúcej konsolidovanú účtovnú závierku podľa IFRS EÚ, do ktorej je zahrňovaná účtovná jednotka a všetky jej  dcérske účtovné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jednotky:</w:t>
      </w: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11"/>
          <w:szCs w:val="22"/>
          <w:vertAlign w:val="baseline"/>
          <w:rtl w:val="0"/>
          <w:lang w:val="sk-SK" w:eastAsia="sk-SK" w:bidi="sk-SK"/>
        </w:rPr>
      </w:pPr>
      <w:r>
        <w:rPr/>
        <w:drawing>
          <wp:inline>
            <wp:extent cx="6017680" cy="12287"/>
            <wp:docPr id="3" name="Picture 3" title="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false"/>
        <w:spacing w:before="6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14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94" w:after="0" w:line="240" w:lineRule="auto"/>
        <w:ind w:left="759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/>
        <w:drawing>
          <wp:inline>
            <wp:extent cx="222504" cy="204215"/>
            <wp:docPr id="4" name="Picture 4" title="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V zmysle § 22 ods. 12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ZoÚ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(oslobodenie pri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nevýznamnosti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dcérskych spoločností):</w:t>
      </w:r>
    </w:p>
    <w:p>
      <w:pPr>
        <w:bidi w:val="false"/>
        <w:spacing w:before="3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7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682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5160"/>
        <w:gridCol w:w="4241"/>
      </w:tblGrid>
      <w:tr>
        <w:trPr>
          <w:trHeight w:val="535" w:hRule="atLeast"/>
          <w:jc w:val="left"/>
        </w:trPr>
        <w:tc>
          <w:tcPr>
            <w:tcW w:type="dxa" w:w="5160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33" w:after="0" w:line="240" w:lineRule="auto"/>
              <w:ind w:left="579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Obchodné meno dcérskej spoločnosti</w:t>
            </w:r>
          </w:p>
        </w:tc>
        <w:tc>
          <w:tcPr>
            <w:tcW w:type="dxa" w:w="4241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33" w:after="0" w:line="240" w:lineRule="auto"/>
              <w:ind w:left="733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Sídlo dcérskej spoločnosti</w:t>
            </w:r>
          </w:p>
        </w:tc>
      </w:tr>
      <w:tr>
        <w:trPr>
          <w:trHeight w:val="401" w:hRule="atLeast"/>
          <w:jc w:val="left"/>
        </w:trPr>
        <w:tc>
          <w:tcPr>
            <w:tcW w:type="dxa" w:w="5160"/>
            <w:tcBorders>
              <w:top w:val="none" w:color="auto" w:sz="0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4241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414" w:hRule="atLeast"/>
          <w:jc w:val="left"/>
        </w:trPr>
        <w:tc>
          <w:tcPr>
            <w:tcW w:type="dxa" w:w="5160"/>
            <w:tcBorders>
              <w:top w:val="single" w:color="000000" w:sz="8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4241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414" w:hRule="atLeast"/>
          <w:jc w:val="left"/>
        </w:trPr>
        <w:tc>
          <w:tcPr>
            <w:tcW w:type="dxa" w:w="5160"/>
            <w:tcBorders>
              <w:top w:val="single" w:color="000000" w:sz="8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4241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401" w:hRule="atLeast"/>
          <w:jc w:val="left"/>
        </w:trPr>
        <w:tc>
          <w:tcPr>
            <w:tcW w:type="dxa" w:w="5160"/>
            <w:tcBorders>
              <w:top w:val="single" w:color="000000" w:sz="8" w:space="0"/>
              <w:left w:val="none" w:color="auto" w:sz="0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4241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6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1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6"/>
        </w:numPr>
        <w:bidi w:val="false"/>
        <w:spacing w:before="91" w:after="0" w:line="240" w:lineRule="auto"/>
        <w:ind w:left="697" w:right="0" w:hanging="548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Informácie o počte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zamestnancov:</w:t>
      </w: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682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096"/>
        <w:gridCol w:w="3096"/>
        <w:gridCol w:w="3209"/>
      </w:tblGrid>
      <w:tr>
        <w:trPr>
          <w:trHeight w:val="955" w:hRule="atLeast"/>
          <w:jc w:val="left"/>
        </w:trPr>
        <w:tc>
          <w:tcPr>
            <w:tcW w:type="dxa" w:w="309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8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9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1" w:after="0" w:line="240" w:lineRule="auto"/>
              <w:ind w:left="783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Názov položky</w:t>
            </w:r>
          </w:p>
        </w:tc>
        <w:tc>
          <w:tcPr>
            <w:tcW w:type="dxa" w:w="309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8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9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1" w:after="0" w:line="240" w:lineRule="auto"/>
              <w:ind w:left="119" w:right="75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Bežné účtovné obdobie</w:t>
            </w:r>
          </w:p>
        </w:tc>
        <w:tc>
          <w:tcPr>
            <w:tcW w:type="dxa" w:w="3209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59" w:after="0" w:line="268" w:lineRule="auto"/>
              <w:ind w:left="318" w:right="273" w:firstLine="1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Bezprostredne predchádzajúce účtovné obdobie</w:t>
            </w:r>
          </w:p>
        </w:tc>
      </w:tr>
      <w:tr>
        <w:trPr>
          <w:trHeight w:val="521" w:hRule="atLeast"/>
          <w:jc w:val="left"/>
        </w:trPr>
        <w:tc>
          <w:tcPr>
            <w:tcW w:type="dxa" w:w="309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119" w:right="7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Priemerný prepočítaný počet</w:t>
            </w:r>
          </w:p>
          <w:p>
            <w:pPr>
              <w:bidi w:val="false"/>
              <w:spacing w:before="20" w:after="0" w:line="241" w:lineRule="exact"/>
              <w:ind w:left="119" w:right="76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zamestnancov</w:t>
            </w:r>
          </w:p>
        </w:tc>
        <w:tc>
          <w:tcPr>
            <w:tcW w:type="dxa" w:w="3096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26" w:after="0" w:line="240" w:lineRule="auto"/>
              <w:ind w:left="55" w:right="0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1</w:t>
            </w:r>
          </w:p>
        </w:tc>
        <w:tc>
          <w:tcPr>
            <w:tcW w:type="dxa" w:w="3209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26" w:after="0" w:line="240" w:lineRule="auto"/>
              <w:ind w:left="57" w:right="0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1</w:t>
            </w:r>
          </w:p>
        </w:tc>
      </w:tr>
    </w:tbl>
    <w:p>
      <w:pPr>
        <w:bidi w:val="false"/>
        <w:spacing w:before="0" w:after="0" w:line="240" w:lineRule="auto"/>
        <w:ind w:left="0" w:right="0" w:firstLine="0"/>
        <w:jc w:val="center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sectPr>
          <w:type w:val="nextPage"/>
          <w:pgSz w:w="11900" w:h="16840"/>
          <w:pgMar w:top="1060" w:right="780" w:bottom="280" w:left="920" w:header="708" w:footer="708" w:gutter="0"/>
          <w:pgBorders/>
          <w:pgNumType w:fmt="decimal"/>
          <w:cols w:equalWidth="1" w:space="0"/>
        </w:sectPr>
      </w:pPr>
    </w:p>
    <w:p>
      <w:pPr>
        <w:bidi w:val="false"/>
        <w:spacing w:before="1" w:after="0" w:line="240" w:lineRule="auto"/>
        <w:ind w:left="0" w:right="0" w:firstLine="0"/>
        <w:jc w:val="left"/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Poznámky ÚČ MÚJ 3-01   IČO: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47687550</w:t>
      </w: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            DIČ: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2024050512</w:t>
      </w:r>
    </w:p>
    <w:p>
      <w:pPr>
        <w:bidi w:val="false"/>
        <w:spacing w:before="94" w:after="0" w:line="240" w:lineRule="auto"/>
        <w:ind w:left="0" w:right="53" w:firstLine="0"/>
        <w:jc w:val="center"/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AF4F"/>
          <w:sz w:val="22"/>
          <w:szCs w:val="22"/>
          <w:vertAlign w:val="baseline"/>
          <w:rtl w:val="0"/>
          <w:lang w:val="sk-SK" w:eastAsia="sk-SK" w:bidi="sk-SK"/>
        </w:rPr>
        <w:t xml:space="preserve">Čl. II</w:t>
      </w:r>
    </w:p>
    <w:p>
      <w:pPr>
        <w:bidi w:val="false"/>
        <w:spacing w:before="37" w:after="0" w:line="240" w:lineRule="auto"/>
        <w:ind w:left="0" w:right="54" w:firstLine="0"/>
        <w:jc w:val="center"/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AF4F"/>
          <w:sz w:val="22"/>
          <w:szCs w:val="22"/>
          <w:vertAlign w:val="baseline"/>
          <w:rtl w:val="0"/>
          <w:lang w:val="sk-SK" w:eastAsia="sk-SK" w:bidi="sk-SK"/>
        </w:rPr>
        <w:t xml:space="preserve">Informácie o prijatých postupoch</w:t>
      </w: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0000"/>
          <w:sz w:val="24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7"/>
        </w:numPr>
        <w:bidi w:val="false"/>
        <w:spacing w:before="90" w:after="0" w:line="240" w:lineRule="auto"/>
        <w:ind w:left="697" w:right="0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Účtovná jednotka bude nepretržite pokračovať vo svojej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činnosti:</w:t>
      </w:r>
    </w:p>
    <w:p>
      <w:pPr>
        <w:bidi w:val="false"/>
        <w:spacing w:before="11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94" w:after="0" w:line="240" w:lineRule="auto"/>
        <w:ind w:left="132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/>
        <w:drawing>
          <wp:inline>
            <wp:extent cx="224027" cy="204216"/>
            <wp:docPr id="5" name="Picture 5" title="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áno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ab/>
        <w:t xml:space="preserve"/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nie</w:t>
      </w: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5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7"/>
        </w:numPr>
        <w:bidi w:val="false"/>
        <w:spacing w:before="98" w:after="0" w:line="240" w:lineRule="auto"/>
        <w:ind w:left="697" w:right="0" w:hanging="548"/>
        <w:jc w:val="left"/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Spôsob oceňovania jednotlivých zložiek majetku a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záväzkov:</w:t>
      </w: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638"/>
        <w:gridCol w:w="3096"/>
        <w:gridCol w:w="3209"/>
      </w:tblGrid>
      <w:tr>
        <w:trPr>
          <w:trHeight w:val="636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84" w:after="0" w:line="240" w:lineRule="auto"/>
              <w:ind w:left="539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Druh majetku / záväzkov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84" w:after="0" w:line="240" w:lineRule="auto"/>
              <w:ind w:left="624" w:right="589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Spôsob ocenenia</w:t>
            </w: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2" w:after="0" w:line="268" w:lineRule="auto"/>
              <w:ind w:left="923" w:right="677" w:hanging="18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Náklady spojené s obstaraním</w:t>
            </w:r>
          </w:p>
        </w:tc>
      </w:tr>
      <w:tr>
        <w:trPr>
          <w:trHeight w:val="257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3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Dlhodobý nehmotný majetok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Dlhodobý hmotný majetok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624" w:right="577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obstarávacia cena</w:t>
            </w: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Dlhodobý finančný majetok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Zásoby obstarané kúpou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56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6" w:after="0" w:line="274" w:lineRule="exact"/>
              <w:ind w:left="35" w:right="916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Zásoby obstarané vlastnou činnosťou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Pohľadávky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624" w:right="577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obstarávacia cena</w:t>
            </w: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Krátkodobý finančný majetok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624" w:right="577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obstarávacia cena</w:t>
            </w: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546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" w:after="0" w:line="240" w:lineRule="auto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Záväzky vr. rezerv, dlhopisov,</w:t>
            </w:r>
          </w:p>
          <w:p>
            <w:pPr>
              <w:bidi w:val="false"/>
              <w:spacing w:before="21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pôžičiek...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36" w:after="0" w:line="240" w:lineRule="auto"/>
              <w:ind w:left="624" w:right="577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obstarávacia cena</w:t>
            </w: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2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Derivátové operácie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8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1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7"/>
        </w:numPr>
        <w:bidi w:val="false"/>
        <w:spacing w:before="99" w:after="0" w:line="240" w:lineRule="auto"/>
        <w:ind w:left="697" w:right="0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Spôsob zostavenia odpisového plánu dlhodobého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majetku:</w:t>
      </w:r>
    </w:p>
    <w:p>
      <w:pPr>
        <w:bidi w:val="false"/>
        <w:spacing w:before="1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7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59" w:lineRule="auto"/>
        <w:ind w:left="697" w:right="171" w:firstLine="0"/>
        <w:jc w:val="both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Spôsob zostavenia účtovného odpisového plánu pre dlhodobý hmotný majetok a dlhodobý nehmotný majetok, doba odpisovania a použité sadzby a odpisové metódy pri stanovení účtovných odpisov:</w:t>
      </w:r>
    </w:p>
    <w:p>
      <w:pPr>
        <w:bidi w:val="false"/>
        <w:spacing w:before="5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8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2606"/>
        <w:gridCol w:w="2064"/>
        <w:gridCol w:w="2064"/>
        <w:gridCol w:w="3209"/>
      </w:tblGrid>
      <w:tr>
        <w:trPr>
          <w:trHeight w:val="550" w:hRule="atLeast"/>
          <w:jc w:val="left"/>
        </w:trPr>
        <w:tc>
          <w:tcPr>
            <w:tcW w:type="dxa" w:w="2606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0" w:after="0" w:line="240" w:lineRule="auto"/>
              <w:ind w:left="596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Druh majetku</w:t>
            </w: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0" w:after="0" w:line="240" w:lineRule="auto"/>
              <w:ind w:left="54" w:right="19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Doba odpisovania</w:t>
            </w: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0" w:after="0" w:line="240" w:lineRule="auto"/>
              <w:ind w:left="56" w:right="19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Sadzba odpisov</w:t>
            </w: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0" w:after="0" w:line="240" w:lineRule="auto"/>
              <w:ind w:left="100" w:right="53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Odpisová metóda</w:t>
            </w:r>
          </w:p>
        </w:tc>
      </w:tr>
      <w:tr>
        <w:trPr>
          <w:trHeight w:val="257" w:hRule="atLeast"/>
          <w:jc w:val="left"/>
        </w:trPr>
        <w:tc>
          <w:tcPr>
            <w:tcW w:type="dxa" w:w="2606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38" w:lineRule="exact"/>
              <w:ind w:left="186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</w:t>
            </w: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38" w:lineRule="exact"/>
              <w:ind w:left="67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38" w:lineRule="exact"/>
              <w:ind w:left="68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38" w:lineRule="exact"/>
              <w:ind w:left="100" w:right="41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2606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2606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85" w:hRule="atLeast"/>
          <w:jc w:val="left"/>
        </w:trPr>
        <w:tc>
          <w:tcPr>
            <w:tcW w:type="dxa" w:w="2606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2" w:hRule="atLeast"/>
          <w:jc w:val="left"/>
        </w:trPr>
        <w:tc>
          <w:tcPr>
            <w:tcW w:type="dxa" w:w="2606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10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16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91" w:after="0" w:line="232" w:lineRule="auto"/>
        <w:ind w:left="697" w:right="174" w:hanging="464"/>
        <w:jc w:val="both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/>
        <w:drawing>
          <wp:inline>
            <wp:extent cx="243840" cy="204216"/>
            <wp:docPr id="6" name="Picture 6" title="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Odpisový plán účtovných odpisov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dlhodobého nehmotného majetku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vychádzal z odpisového plánu zostaveného účtovnou jednotkou, ktorý vychádzal z predpokladanej doby použiteľnosti dlhodobého nehmotného majetku alebo iných objektívnych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predpokladov.</w:t>
      </w:r>
    </w:p>
    <w:p>
      <w:pPr>
        <w:bidi w:val="false"/>
        <w:spacing w:before="1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32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697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/>
        <w:drawing>
          <wp:inline>
            <wp:extent cx="231647" cy="195073"/>
            <wp:docPr id="7" name="Picture 7" title="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Odpisový plán bol ovplyvnený týmito rozhodnutiami:</w:t>
      </w: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sectPr>
          <w:type w:val="nextPage"/>
          <w:pgSz w:w="11900" w:h="16840"/>
          <w:pgMar w:top="1060" w:right="780" w:bottom="280" w:left="920" w:header="708" w:footer="708" w:gutter="0"/>
          <w:pgBorders/>
          <w:pgNumType w:fmt="decimal"/>
          <w:cols w:equalWidth="1" w:space="0"/>
        </w:sectPr>
      </w:pP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Calibri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Poznámky ÚČ MÚJ 3-01   IČO: </w:t>
      </w: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47687550</w:t>
      </w:r>
      <w:r>
        <w:rPr>
          <w:rFonts w:ascii="Arial" w:hAnsi="Arial" w:eastAsia="Arial" w:cs="Calibri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           DIČ: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2024050512</w:t>
      </w:r>
    </w:p>
    <w:p>
      <w:pPr>
        <w:bidi w:val="false"/>
        <w:spacing w:before="0" w:after="0" w:line="240" w:lineRule="auto"/>
        <w:ind w:left="697" w:right="174" w:hanging="478"/>
        <w:jc w:val="both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697" w:right="174" w:hanging="478"/>
        <w:jc w:val="both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697" w:right="174" w:hanging="478"/>
        <w:jc w:val="both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697" w:right="174" w:hanging="478"/>
        <w:jc w:val="both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/>
        <w:drawing>
          <wp:inline>
            <wp:extent cx="233172" cy="204215"/>
            <wp:docPr id="8" name="Picture 8" title="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Odpisový plán účtovných odpisov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dlhodobého hmotného majetku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podnikateľ zostavil interným predpisom, v ktorom vychádzal z predpokladaného opotrebenia zaraďovaného majetku zodpovedajúceho bežným podmienkam jeho používania. Odpisové sadzby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pre</w:t>
      </w:r>
    </w:p>
    <w:p>
      <w:pPr>
        <w:bidi w:val="false"/>
        <w:spacing w:before="27" w:after="0" w:line="240" w:lineRule="auto"/>
        <w:ind w:left="697" w:right="0" w:firstLine="0"/>
        <w:jc w:val="both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účtovné a daňové odpisy podnikateľa sa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nerovnajú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.</w:t>
      </w:r>
    </w:p>
    <w:p>
      <w:pPr>
        <w:bidi w:val="false"/>
        <w:spacing w:before="8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56" w:lineRule="auto"/>
        <w:ind w:left="697" w:right="174" w:hanging="512"/>
        <w:jc w:val="both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/>
        <w:drawing>
          <wp:inline>
            <wp:extent cx="243839" cy="204216"/>
            <wp:docPr id="9" name="Picture 9" title="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  <w:t xml:space="preserve"> 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Odpisový plán účtovných odpisov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dlhodobého hmotného majetku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podnikateľ zostavil interným predpisom tak, že za základ vzal metódy používané pri vyčísľovaní daňových odpisov. Odpisové sadzby pre účtovné a daňové odpisy podnikateľa sa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rovnajú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.</w:t>
      </w: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7"/>
        </w:numPr>
        <w:bidi w:val="false"/>
        <w:spacing w:before="98" w:after="0" w:line="240" w:lineRule="auto"/>
        <w:ind w:left="697" w:right="0" w:hanging="548"/>
        <w:jc w:val="left"/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Zmeny účtovných zásad a účtovných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metód:</w:t>
      </w:r>
    </w:p>
    <w:p>
      <w:pPr>
        <w:bidi w:val="false"/>
        <w:spacing w:before="1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7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59" w:lineRule="auto"/>
        <w:ind w:left="697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Účtovné metódy a zásady boli aplikované v rámci platného zákona o účtovníctve počas celého účtovného obdobia, s osobitosťami:</w:t>
      </w:r>
    </w:p>
    <w:p>
      <w:pPr>
        <w:bidi w:val="false"/>
        <w:spacing w:before="9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5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638"/>
        <w:gridCol w:w="3096"/>
        <w:gridCol w:w="3209"/>
      </w:tblGrid>
      <w:tr>
        <w:trPr>
          <w:trHeight w:val="1726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7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68" w:lineRule="auto"/>
              <w:ind w:left="628" w:right="262" w:hanging="317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Druh zmeny účtovnej zásady alebo účtovnej metódy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176" w:after="0" w:line="240" w:lineRule="auto"/>
              <w:ind w:left="842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Dôvod zmeny</w:t>
            </w: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62" w:after="0" w:line="268" w:lineRule="auto"/>
              <w:ind w:left="100" w:right="53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Hodnota vplyvu na príslušnú zložku majetku, záväzkov, vlastného imania a výsledku hospodárenia účtovnej jednotky</w:t>
            </w:r>
          </w:p>
        </w:tc>
      </w:tr>
      <w:tr>
        <w:trPr>
          <w:trHeight w:val="257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2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8" w:after="0" w:line="240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1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7"/>
        </w:numPr>
        <w:bidi w:val="false"/>
        <w:spacing w:before="99" w:after="0" w:line="240" w:lineRule="auto"/>
        <w:ind w:left="697" w:right="0" w:hanging="548"/>
        <w:jc w:val="left"/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Dotácie poskytnuté na obstaranie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majetku</w:t>
      </w: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638"/>
        <w:gridCol w:w="3096"/>
        <w:gridCol w:w="3209"/>
      </w:tblGrid>
      <w:tr>
        <w:trPr>
          <w:trHeight w:val="259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1388" w:right="1364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Majetok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1058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Ocenenie</w:t>
            </w: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100" w:right="53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Výška dotácie</w:t>
            </w:r>
          </w:p>
        </w:tc>
      </w:tr>
      <w:tr>
        <w:trPr>
          <w:trHeight w:val="257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38" w:lineRule="exact"/>
              <w:ind w:left="61" w:right="0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0</w:t>
            </w: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2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4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3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7"/>
        </w:numPr>
        <w:bidi w:val="false"/>
        <w:spacing w:before="0" w:after="0" w:line="268" w:lineRule="auto"/>
        <w:ind w:left="697" w:right="173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Oprava významných a nevýznamných chýb minulých účtovných období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vykonaných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v bežnom účtovnom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období:</w:t>
      </w: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4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638"/>
        <w:gridCol w:w="2064"/>
        <w:gridCol w:w="4241"/>
      </w:tblGrid>
      <w:tr>
        <w:trPr>
          <w:trHeight w:val="259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1173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Druh opravy</w:t>
            </w: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54" w:right="19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Suma</w:t>
            </w:r>
          </w:p>
        </w:tc>
        <w:tc>
          <w:tcPr>
            <w:tcW w:type="dxa" w:w="4241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626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Popis chyby a vplyvu opravy</w:t>
            </w:r>
          </w:p>
        </w:tc>
      </w:tr>
      <w:tr>
        <w:trPr>
          <w:trHeight w:val="562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7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Oprava </w:t>
            </w: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významných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chýb minulých</w:t>
            </w:r>
          </w:p>
          <w:p>
            <w:pPr>
              <w:bidi w:val="false"/>
              <w:spacing w:before="42" w:after="0" w:line="240" w:lineRule="auto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účtovných období</w:t>
            </w: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0" w:after="0" w:line="240" w:lineRule="auto"/>
              <w:ind w:left="0" w:right="311" w:firstLine="0"/>
              <w:jc w:val="righ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0</w:t>
            </w:r>
          </w:p>
        </w:tc>
        <w:tc>
          <w:tcPr>
            <w:tcW w:type="dxa" w:w="4241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548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7" w:after="0" w:line="240" w:lineRule="auto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Oprava </w:t>
            </w: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nevýznamných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chýb</w:t>
            </w:r>
          </w:p>
          <w:p>
            <w:pPr>
              <w:bidi w:val="false"/>
              <w:spacing w:before="27" w:after="0" w:line="241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minulých účtovných období</w:t>
            </w: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6" w:after="0" w:line="240" w:lineRule="auto"/>
              <w:ind w:left="0" w:right="311" w:firstLine="0"/>
              <w:jc w:val="righ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0</w:t>
            </w:r>
          </w:p>
        </w:tc>
        <w:tc>
          <w:tcPr>
            <w:tcW w:type="dxa" w:w="4241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0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sectPr>
          <w:type w:val="nextPage"/>
          <w:pgSz w:w="11900" w:h="16840"/>
          <w:pgMar w:top="1060" w:right="780" w:bottom="280" w:left="920" w:header="708" w:footer="708" w:gutter="0"/>
          <w:pgBorders/>
          <w:pgNumType w:fmt="decimal"/>
          <w:cols w:equalWidth="1" w:space="0"/>
        </w:sectPr>
      </w:pP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Calibri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Poznámky ÚČ MÚJ 3-01   IČO: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47687550</w:t>
      </w:r>
      <w:r>
        <w:rPr>
          <w:rFonts w:ascii="Arial" w:hAnsi="Arial" w:eastAsia="Arial" w:cs="Calibri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            DIČ: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2024050512</w:t>
      </w:r>
    </w:p>
    <w:p>
      <w:pPr>
        <w:bidi w:val="false"/>
        <w:spacing w:before="94" w:after="0" w:line="240" w:lineRule="auto"/>
        <w:ind w:left="0" w:right="55" w:firstLine="0"/>
        <w:jc w:val="center"/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AF4F"/>
          <w:sz w:val="22"/>
          <w:szCs w:val="22"/>
          <w:vertAlign w:val="baseline"/>
          <w:rtl w:val="0"/>
          <w:lang w:val="sk-SK" w:eastAsia="sk-SK" w:bidi="sk-SK"/>
        </w:rPr>
        <w:t xml:space="preserve">Čl. III</w:t>
      </w:r>
    </w:p>
    <w:p>
      <w:pPr>
        <w:bidi w:val="false"/>
        <w:spacing w:before="37" w:after="0" w:line="240" w:lineRule="auto"/>
        <w:ind w:left="0" w:right="54" w:firstLine="0"/>
        <w:jc w:val="center"/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AF4F"/>
          <w:sz w:val="22"/>
          <w:szCs w:val="22"/>
          <w:vertAlign w:val="baseline"/>
          <w:rtl w:val="0"/>
          <w:lang w:val="sk-SK" w:eastAsia="sk-SK" w:bidi="sk-SK"/>
        </w:rPr>
        <w:t xml:space="preserve">Informácie, ktoré vysvetľujú a dopĺňajú súvahu a výkaz ziskov a strát</w:t>
      </w:r>
    </w:p>
    <w:p>
      <w:pPr>
        <w:bidi w:val="false"/>
        <w:spacing w:before="9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94" w:after="0" w:line="268" w:lineRule="auto"/>
        <w:ind w:left="697" w:right="176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1.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ab/>
        <w:t xml:space="preserve"/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Informácie o sume a dôvodoch vzniku jednotlivých položiek nákladov alebo výnosov, ktoré majú výnimočný rozsah alebo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výskyt:</w:t>
      </w:r>
    </w:p>
    <w:p>
      <w:pPr>
        <w:bidi w:val="false"/>
        <w:spacing w:before="1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7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4670"/>
        <w:gridCol w:w="3096"/>
        <w:gridCol w:w="2177"/>
      </w:tblGrid>
      <w:tr>
        <w:trPr>
          <w:trHeight w:val="751" w:hRule="atLeast"/>
          <w:jc w:val="left"/>
        </w:trPr>
        <w:tc>
          <w:tcPr>
            <w:tcW w:type="dxa" w:w="4670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1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1902" w:right="1863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Udalosť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1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624" w:right="575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Dôvod</w:t>
            </w:r>
          </w:p>
        </w:tc>
        <w:tc>
          <w:tcPr>
            <w:tcW w:type="dxa" w:w="2177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1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647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Hodnota</w:t>
            </w:r>
          </w:p>
        </w:tc>
      </w:tr>
      <w:tr>
        <w:trPr>
          <w:trHeight w:val="257" w:hRule="atLeast"/>
          <w:jc w:val="left"/>
        </w:trPr>
        <w:tc>
          <w:tcPr>
            <w:tcW w:type="dxa" w:w="4670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4670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4670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4670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2" w:hRule="atLeast"/>
          <w:jc w:val="left"/>
        </w:trPr>
        <w:tc>
          <w:tcPr>
            <w:tcW w:type="dxa" w:w="4670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4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3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1"/>
          <w:numId w:val="8"/>
        </w:numPr>
        <w:bidi w:val="false"/>
        <w:spacing w:before="0" w:after="0" w:line="240" w:lineRule="auto"/>
        <w:ind w:left="697" w:right="0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Informácie o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záväzkoch:</w:t>
      </w: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638"/>
        <w:gridCol w:w="3096"/>
        <w:gridCol w:w="3209"/>
      </w:tblGrid>
      <w:tr>
        <w:trPr>
          <w:trHeight w:val="855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5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1055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Názov položky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5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319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Bežné účtovné obdobie</w:t>
            </w: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8" w:after="0" w:line="268" w:lineRule="auto"/>
              <w:ind w:left="326" w:right="278" w:firstLine="1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Bezprostredne predchádzajúce účtovné</w:t>
            </w:r>
          </w:p>
          <w:p>
            <w:pPr>
              <w:bidi w:val="false"/>
              <w:spacing w:before="0" w:after="0" w:line="253" w:lineRule="exact"/>
              <w:ind w:left="100" w:right="53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obdobie</w:t>
            </w:r>
          </w:p>
        </w:tc>
      </w:tr>
      <w:tr>
        <w:trPr>
          <w:trHeight w:val="259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38" w:lineRule="exact"/>
              <w:ind w:left="35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Dlhodobé záväzky spolu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0" w:right="618" w:firstLine="0"/>
              <w:jc w:val="righ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0" w:right="618" w:firstLine="0"/>
              <w:jc w:val="righ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548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7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Záväzky so zostatkovou dobou</w:t>
            </w:r>
          </w:p>
          <w:p>
            <w:pPr>
              <w:bidi w:val="false"/>
              <w:spacing w:before="20" w:after="0" w:line="240" w:lineRule="auto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splatnosti nad päť rokov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548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7" w:after="0" w:line="240" w:lineRule="auto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Záväzky so zostatkovou dobou</w:t>
            </w:r>
          </w:p>
          <w:p>
            <w:pPr>
              <w:bidi w:val="false"/>
              <w:spacing w:before="20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splatnosti jeden rok až päť rokov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3" w:after="0" w:line="240" w:lineRule="auto"/>
              <w:ind w:left="0" w:right="618" w:firstLine="0"/>
              <w:jc w:val="righ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3" w:after="0" w:line="240" w:lineRule="auto"/>
              <w:ind w:left="0" w:right="606" w:firstLine="0"/>
              <w:jc w:val="righ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59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35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Krátkodobé záväzky spolu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1903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exact"/>
              <w:ind w:left="0" w:right="605" w:firstLine="0"/>
              <w:jc w:val="righ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824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31" w:after="0" w:line="259" w:lineRule="auto"/>
              <w:ind w:left="35" w:right="194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Záväzky so zostatkovou dobou splatnosti do jedného roka vrátane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1903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605" w:firstLine="0"/>
              <w:jc w:val="righ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373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55" w:after="0" w:line="240" w:lineRule="auto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Záväzky po lehote splatnosti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55" w:after="0" w:line="240" w:lineRule="auto"/>
              <w:ind w:left="0" w:right="618" w:firstLine="0"/>
              <w:jc w:val="righ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0</w:t>
            </w: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55" w:after="0" w:line="240" w:lineRule="auto"/>
              <w:ind w:left="0" w:right="606" w:firstLine="0"/>
              <w:jc w:val="righ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2D74B5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0</w:t>
            </w:r>
          </w:p>
        </w:tc>
      </w:tr>
    </w:tbl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3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1"/>
          <w:numId w:val="8"/>
        </w:numPr>
        <w:bidi w:val="false"/>
        <w:spacing w:before="0" w:after="0" w:line="240" w:lineRule="auto"/>
        <w:ind w:left="697" w:right="0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Hodnota záväzkov zabezpečená záložným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právom:</w:t>
      </w:r>
    </w:p>
    <w:p>
      <w:pPr>
        <w:bidi w:val="false"/>
        <w:spacing w:before="7" w:after="1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5702"/>
        <w:gridCol w:w="2064"/>
        <w:gridCol w:w="3224"/>
        <w:gridCol w:w="333"/>
        <w:gridCol w:w="2217"/>
      </w:tblGrid>
      <w:tr>
        <w:trPr>
          <w:trHeight w:val="432" w:hRule="atLeast"/>
          <w:jc w:val="left"/>
        </w:trPr>
        <w:tc>
          <w:tcPr>
            <w:tcW w:type="dxa" w:w="5702"/>
            <w:vMerge w:val="restart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0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32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1069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Druh formy zabezpečenia záväzku</w:t>
            </w:r>
          </w:p>
        </w:tc>
        <w:tc>
          <w:tcPr>
            <w:tcW w:type="dxa" w:w="4241"/>
            <w:gridSpan w:val="2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80" w:after="0" w:line="240" w:lineRule="auto"/>
              <w:ind w:left="525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Hodnota záväzku zabezpečená</w:t>
            </w:r>
          </w:p>
        </w:tc>
        <w:tc>
          <w:tcPr>
            <w:tcW w:type="dxa" w:w="2550"/>
            <w:gridSpan w:val="2"/>
            <w:tcBorders/>
          </w:tcPr>
          <w:p>
            <w:pPr>
              <w:pStyle w:val="Normal"/>
              <w:rPr/>
            </w:pPr>
          </w:p>
        </w:tc>
      </w:tr>
      <w:tr>
        <w:trPr>
          <w:trHeight w:val="550" w:hRule="atLeast"/>
          <w:jc w:val="left"/>
        </w:trPr>
        <w:tc>
          <w:tcPr>
            <w:tcW w:type="dxa" w:w="47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0" w:after="0" w:line="240" w:lineRule="auto"/>
              <w:ind w:left="103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Záložným právom</w:t>
            </w:r>
          </w:p>
        </w:tc>
        <w:tc>
          <w:tcPr>
            <w:tcW w:type="dxa" w:w="2177"/>
            <w:gridSpan w:val="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2" w:lineRule="exact"/>
              <w:ind w:left="451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Inou formou</w:t>
            </w:r>
          </w:p>
          <w:p>
            <w:pPr>
              <w:bidi w:val="false"/>
              <w:spacing w:before="30" w:after="0" w:line="248" w:lineRule="exact"/>
              <w:ind w:left="383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zabezpečenia</w:t>
            </w:r>
          </w:p>
        </w:tc>
      </w:tr>
      <w:tr>
        <w:trPr>
          <w:trHeight w:val="257" w:hRule="atLeast"/>
          <w:jc w:val="left"/>
        </w:trPr>
        <w:tc>
          <w:tcPr>
            <w:tcW w:type="dxa" w:w="5702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gridSpan w:val="2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570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570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570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2" w:hRule="atLeast"/>
          <w:jc w:val="left"/>
        </w:trPr>
        <w:tc>
          <w:tcPr>
            <w:tcW w:type="dxa" w:w="5702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gridSpan w:val="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0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  <w:sectPr>
          <w:type w:val="nextPage"/>
          <w:pgSz w:w="11900" w:h="16840"/>
          <w:pgMar w:top="1060" w:right="780" w:bottom="280" w:left="920" w:header="708" w:footer="708" w:gutter="0"/>
          <w:pgBorders/>
          <w:pgNumType w:fmt="decimal"/>
          <w:cols w:equalWidth="1" w:space="0"/>
        </w:sectPr>
      </w:pP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Calibri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Poznámky ÚČ MÚJ 3-01   IČO: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47687550</w:t>
      </w:r>
      <w:r>
        <w:rPr>
          <w:rFonts w:ascii="Arial" w:hAnsi="Arial" w:eastAsia="Arial" w:cs="Calibri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          DIČ: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/>
          <w:sz w:val="24"/>
          <w:szCs w:val="24"/>
          <w:vertAlign w:val="baseline"/>
          <w:rtl w:val="0"/>
          <w:lang w:val="en-US" w:eastAsia="uk-UA" w:bidi="ar-SA"/>
        </w:rPr>
        <w:t xml:space="preserve">2024050512</w:t>
      </w:r>
    </w:p>
    <w:p>
      <w:pPr>
        <w:bidi w:val="false"/>
        <w:spacing w:before="10" w:after="0" w:line="240" w:lineRule="auto"/>
        <w:ind w:left="0" w:right="0" w:firstLine="0"/>
        <w:jc w:val="left"/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9"/>
        </w:numPr>
        <w:bidi w:val="false"/>
        <w:spacing w:before="98" w:after="0" w:line="240" w:lineRule="auto"/>
        <w:ind w:left="697" w:right="0" w:hanging="548"/>
        <w:jc w:val="left"/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Informácie o vlastných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akciách:</w:t>
      </w: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1574"/>
        <w:gridCol w:w="2064"/>
        <w:gridCol w:w="2064"/>
        <w:gridCol w:w="2064"/>
        <w:gridCol w:w="2896"/>
        <w:gridCol w:w="1700"/>
        <w:gridCol w:w="627"/>
      </w:tblGrid>
      <w:tr>
        <w:trPr>
          <w:trHeight w:val="259" w:hRule="atLeast"/>
          <w:jc w:val="left"/>
        </w:trPr>
        <w:tc>
          <w:tcPr>
            <w:tcW w:type="dxa" w:w="1574"/>
            <w:vMerge w:val="restart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64" w:after="0" w:line="268" w:lineRule="auto"/>
              <w:ind w:left="119" w:right="95" w:firstLine="2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Dôvod </w:t>
            </w: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nadobudnu</w:t>
            </w: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- </w:t>
            </w: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tia</w:t>
            </w: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 vlastných akcií počas účtovného obdobia</w:t>
            </w:r>
          </w:p>
        </w:tc>
        <w:tc>
          <w:tcPr>
            <w:tcW w:type="dxa" w:w="8369"/>
            <w:gridSpan w:val="4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" w:after="0" w:line="236" w:lineRule="exact"/>
              <w:ind w:left="2943" w:right="2884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Bežné účtovné obdobie</w:t>
            </w:r>
          </w:p>
        </w:tc>
        <w:tc>
          <w:tcPr>
            <w:tcW w:type="dxa" w:w="1700"/>
            <w:tcBorders/>
          </w:tcPr>
          <w:p>
            <w:pPr>
              <w:pStyle w:val="Normal"/>
              <w:rPr/>
            </w:pPr>
          </w:p>
        </w:tc>
      </w:tr>
      <w:tr>
        <w:trPr>
          <w:trHeight w:val="550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vMerge w:val="restart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162" w:after="0" w:line="268" w:lineRule="auto"/>
              <w:ind w:left="176" w:right="141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Stav na začiatku účtovného obdobia</w:t>
            </w: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0" w:after="0" w:line="240" w:lineRule="auto"/>
              <w:ind w:left="72" w:right="18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Prírastky</w:t>
            </w: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0" w:after="0" w:line="240" w:lineRule="auto"/>
              <w:ind w:left="72" w:right="18" w:firstLine="0"/>
              <w:jc w:val="center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Úbytky</w:t>
            </w:r>
          </w:p>
        </w:tc>
        <w:tc>
          <w:tcPr>
            <w:tcW w:type="dxa" w:w="2177"/>
            <w:gridSpan w:val="3"/>
            <w:vMerge w:val="restart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5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6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68" w:lineRule="auto"/>
              <w:ind w:left="79" w:right="16" w:firstLine="304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Stav na konci účtovného obdobia</w:t>
            </w:r>
          </w:p>
        </w:tc>
      </w:tr>
      <w:tr>
        <w:trPr>
          <w:trHeight w:val="245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25" w:lineRule="exact"/>
              <w:ind w:left="69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Počet akcií</w:t>
            </w: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25" w:lineRule="exact"/>
              <w:ind w:left="69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Počet akcií</w:t>
            </w:r>
          </w:p>
        </w:tc>
        <w:tc>
          <w:tcPr>
            <w:tcW w:type="dxa" w:w="5223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  <w:tr>
        <w:trPr>
          <w:trHeight w:val="245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25" w:lineRule="exact"/>
              <w:ind w:left="65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Podiel na ZI v %</w:t>
            </w: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25" w:lineRule="exact"/>
              <w:ind w:left="65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Podiel na ZI v %</w:t>
            </w:r>
          </w:p>
        </w:tc>
        <w:tc>
          <w:tcPr>
            <w:tcW w:type="dxa" w:w="5223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  <w:tr>
        <w:trPr>
          <w:trHeight w:val="245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25" w:lineRule="exact"/>
              <w:ind w:left="117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Menovitá hodnota</w:t>
            </w: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25" w:lineRule="exact"/>
              <w:ind w:left="55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Menovitá hodnota</w:t>
            </w:r>
          </w:p>
        </w:tc>
        <w:tc>
          <w:tcPr>
            <w:tcW w:type="dxa" w:w="5223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  <w:tr>
        <w:trPr>
          <w:trHeight w:val="245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25" w:lineRule="exact"/>
              <w:ind w:left="51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Hodnota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nadobudn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</w:t>
            </w: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25" w:lineRule="exact"/>
              <w:ind w:left="52" w:right="19" w:firstLine="0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Hodnota za prevod</w:t>
            </w:r>
          </w:p>
        </w:tc>
        <w:tc>
          <w:tcPr>
            <w:tcW w:type="dxa" w:w="5223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  <w:tr>
        <w:trPr>
          <w:trHeight w:val="245" w:hRule="atLeast"/>
          <w:jc w:val="left"/>
        </w:trPr>
        <w:tc>
          <w:tcPr>
            <w:tcW w:type="dxa" w:w="1574"/>
            <w:vMerge w:val="restart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vMerge w:val="restart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gridSpan w:val="3"/>
            <w:vMerge w:val="restart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45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5223"/>
            <w:gridSpan w:val="3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  <w:tr>
        <w:trPr>
          <w:trHeight w:val="245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5223"/>
            <w:gridSpan w:val="3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  <w:tr>
        <w:trPr>
          <w:trHeight w:val="259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5223"/>
            <w:gridSpan w:val="3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  <w:tr>
        <w:trPr>
          <w:trHeight w:val="245" w:hRule="atLeast"/>
          <w:jc w:val="left"/>
        </w:trPr>
        <w:tc>
          <w:tcPr>
            <w:tcW w:type="dxa" w:w="1574"/>
            <w:vMerge w:val="restart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vMerge w:val="restart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177"/>
            <w:gridSpan w:val="3"/>
            <w:vMerge w:val="restart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45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5223"/>
            <w:gridSpan w:val="3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  <w:tr>
        <w:trPr>
          <w:trHeight w:val="245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5223"/>
            <w:gridSpan w:val="3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  <w:tr>
        <w:trPr>
          <w:trHeight w:val="259" w:hRule="atLeast"/>
          <w:jc w:val="left"/>
        </w:trPr>
        <w:tc>
          <w:tcPr>
            <w:tcW w:type="dxa" w:w="982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288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2064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5223"/>
            <w:gridSpan w:val="3"/>
            <w:vMerge w:val="continue"/>
            <w:tcBorders>
              <w:top w:val="none" w:color="auto" w:sz="0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</w:tr>
    </w:tbl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1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0"/>
          <w:numId w:val="9"/>
        </w:numPr>
        <w:bidi w:val="false"/>
        <w:spacing w:before="94" w:after="0" w:line="240" w:lineRule="auto"/>
        <w:ind w:left="697" w:right="0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Informácie o orgánoch účtovnej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jednotky:</w:t>
      </w: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638"/>
        <w:gridCol w:w="1032"/>
        <w:gridCol w:w="1032"/>
        <w:gridCol w:w="1629"/>
        <w:gridCol w:w="587"/>
        <w:gridCol w:w="1032"/>
        <w:gridCol w:w="1032"/>
        <w:gridCol w:w="1122"/>
        <w:gridCol w:w="1134"/>
        <w:gridCol w:w="40"/>
      </w:tblGrid>
      <w:tr>
        <w:trPr>
          <w:trHeight w:val="535" w:hRule="atLeast"/>
          <w:jc w:val="left"/>
        </w:trPr>
        <w:tc>
          <w:tcPr>
            <w:tcW w:type="dxa" w:w="3638"/>
            <w:vMerge w:val="restart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8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757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Druh príjmu, výhody</w:t>
            </w:r>
          </w:p>
        </w:tc>
        <w:tc>
          <w:tcPr>
            <w:tcW w:type="dxa" w:w="3096"/>
            <w:gridSpan w:val="3"/>
            <w:tcBorders>
              <w:top w:val="none" w:color="auto" w:sz="0" w:space="0"/>
              <w:left w:val="none" w:color="auto" w:sz="0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2" w:after="0" w:line="250" w:lineRule="atLeast"/>
              <w:ind w:left="261" w:right="0" w:firstLine="139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  <w:t xml:space="preserve">Hodnota príjmu, výhody súčasných členov orgánov</w:t>
            </w:r>
          </w:p>
        </w:tc>
        <w:tc>
          <w:tcPr>
            <w:tcW w:type="dxa" w:w="3209"/>
            <w:gridSpan w:val="4"/>
            <w:tcBorders>
              <w:top w:val="none" w:color="auto" w:sz="0" w:space="0"/>
              <w:left w:val="none" w:color="auto" w:sz="0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2" w:after="0" w:line="250" w:lineRule="atLeast"/>
              <w:ind w:left="407" w:right="0" w:firstLine="5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  <w:t xml:space="preserve">Hodnota príjmu, výhody bývalých členov orgánov</w:t>
            </w:r>
          </w:p>
        </w:tc>
        <w:tc>
          <w:tcPr>
            <w:tcW w:type="dxa" w:w="1133"/>
            <w:tcBorders/>
          </w:tcPr>
          <w:p>
            <w:pPr>
              <w:pStyle w:val="Normal"/>
              <w:rPr/>
            </w:pPr>
          </w:p>
        </w:tc>
      </w:tr>
      <w:tr>
        <w:trPr>
          <w:trHeight w:val="259" w:hRule="atLeast"/>
          <w:jc w:val="left"/>
        </w:trPr>
        <w:tc>
          <w:tcPr>
            <w:tcW w:type="dxa" w:w="2604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1" w:after="0" w:line="240" w:lineRule="auto"/>
              <w:ind w:left="4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  <w:t xml:space="preserve">štatutárnych</w:t>
            </w: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1" w:after="0" w:line="240" w:lineRule="auto"/>
              <w:ind w:left="127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  <w:t xml:space="preserve">dozorných</w:t>
            </w:r>
          </w:p>
        </w:tc>
        <w:tc>
          <w:tcPr>
            <w:tcW w:type="dxa" w:w="1032"/>
            <w:gridSpan w:val="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1" w:after="0" w:line="240" w:lineRule="auto"/>
              <w:ind w:left="323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  <w:t xml:space="preserve">iných</w:t>
            </w: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1" w:after="0" w:line="240" w:lineRule="auto"/>
              <w:ind w:left="4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  <w:t xml:space="preserve">štatutárnych</w:t>
            </w: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1" w:after="0" w:line="240" w:lineRule="auto"/>
              <w:ind w:left="127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  <w:t xml:space="preserve">dozorných</w:t>
            </w:r>
          </w:p>
        </w:tc>
        <w:tc>
          <w:tcPr>
            <w:tcW w:type="dxa" w:w="1145"/>
            <w:gridSpan w:val="3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1" w:after="0" w:line="240" w:lineRule="auto"/>
              <w:ind w:left="379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  <w:t xml:space="preserve">iných</w:t>
            </w:r>
          </w:p>
        </w:tc>
      </w:tr>
      <w:tr>
        <w:trPr>
          <w:trHeight w:val="257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3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Poskytnuté záruky alebo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zabezp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</w:t>
            </w:r>
          </w:p>
        </w:tc>
        <w:tc>
          <w:tcPr>
            <w:tcW w:type="dxa" w:w="1032"/>
            <w:tcBorders>
              <w:top w:val="none" w:color="auto" w:sz="0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gridSpan w:val="2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none" w:color="auto" w:sz="0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145"/>
            <w:gridSpan w:val="3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Poskytnuté pôžičky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  <w:t xml:space="preserve">(ku dňu ÚZ)</w:t>
            </w: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145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Splatené pôžičky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6"/>
                <w:szCs w:val="22"/>
                <w:vertAlign w:val="baseline"/>
                <w:rtl w:val="0"/>
                <w:lang w:val="sk-SK" w:eastAsia="sk-SK" w:bidi="sk-SK"/>
              </w:rPr>
              <w:t xml:space="preserve">(ku dňu ÚZ)</w:t>
            </w: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145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Odpustné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 alebo odpísané pôžičky</w:t>
            </w: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145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838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73" w:lineRule="auto"/>
              <w:ind w:left="35" w:right="194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Finančné prostriedky a iné plnenie použité na súkromné účely na</w:t>
            </w:r>
          </w:p>
          <w:p>
            <w:pPr>
              <w:bidi w:val="false"/>
              <w:spacing w:before="1" w:after="0" w:line="241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vyúčtovanie</w:t>
            </w: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gridSpan w:val="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none" w:color="auto" w:sz="0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03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1145"/>
            <w:gridSpan w:val="3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1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16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94" w:after="0" w:line="268" w:lineRule="auto"/>
        <w:ind w:left="697" w:right="176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4.d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ab/>
        <w:t xml:space="preserve"/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Hlavné podmienky, na základe ktorých boli záruky alebo iné zabezpečenia poskytnuté (pri pôžičkách sa uvádzajú úrokové sadzby):</w:t>
      </w:r>
    </w:p>
    <w:p>
      <w:pPr>
        <w:bidi w:val="false"/>
        <w:spacing w:before="0" w:after="0" w:line="268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68" w:lineRule="auto"/>
        <w:ind w:left="0" w:right="0" w:firstLine="0"/>
        <w:jc w:val="left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sectPr>
          <w:type w:val="nextPage"/>
          <w:pgSz w:w="11900" w:h="16840"/>
          <w:pgMar w:top="1060" w:right="780" w:bottom="280" w:left="920" w:header="708" w:footer="708" w:gutter="0"/>
          <w:pgBorders/>
          <w:pgNumType w:fmt="decimal"/>
          <w:cols w:equalWidth="1" w:space="0"/>
        </w:sectPr>
      </w:pP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Poznámky ÚČ MÚJ 3-01   IČO: </w:t>
      </w: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47492058</w:t>
      </w:r>
      <w:r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  <w:t xml:space="preserve">            DIČ: 2023899735</w:t>
      </w: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/>
          <w:strike w:val="0"/>
          <w:dstrike w:val="0"/>
          <w:color w:val="000000"/>
          <w:sz w:val="19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93" w:after="0" w:line="240" w:lineRule="auto"/>
        <w:ind w:left="697" w:right="0" w:hanging="548"/>
        <w:jc w:val="left"/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1"/>
          <w:numId w:val="10"/>
        </w:numPr>
        <w:bidi w:val="false"/>
        <w:spacing w:before="93" w:after="0" w:line="240" w:lineRule="auto"/>
        <w:ind w:left="759" w:right="0" w:hanging="610"/>
        <w:jc w:val="left"/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Informácie o celkovej sume finančných povinností, ktoré sa nevykazujú v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súvahe:</w:t>
      </w:r>
    </w:p>
    <w:p>
      <w:pPr>
        <w:bidi w:val="false"/>
        <w:spacing w:before="7" w:after="1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638"/>
        <w:gridCol w:w="3096"/>
        <w:gridCol w:w="3209"/>
      </w:tblGrid>
      <w:tr>
        <w:trPr>
          <w:trHeight w:val="853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8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1062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Názov položky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8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703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Hodnota celkom</w:t>
            </w:r>
          </w:p>
        </w:tc>
        <w:tc>
          <w:tcPr>
            <w:tcW w:type="dxa" w:w="3209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43" w:after="0" w:line="268" w:lineRule="auto"/>
              <w:ind w:left="158" w:right="98" w:firstLine="108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Hodnota voči dcérskej ÚJ a ÚJ s podstatným vplyvom</w:t>
            </w: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Povinnosti nájomcu z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operat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pren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Povinnosti z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uzatv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 úverov. zmlúv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Povinnosti z licenčných zmlúv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Povinnosti z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koncesionársk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 zmlúv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2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Ostatné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1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16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94" w:after="0" w:line="240" w:lineRule="auto"/>
        <w:ind w:left="15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Opis významných finančných povinností:</w:t>
      </w: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4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</w:p>
    <w:p>
      <w:pPr>
        <w:numPr>
          <w:ilvl w:val="1"/>
          <w:numId w:val="10"/>
        </w:numPr>
        <w:bidi w:val="false"/>
        <w:spacing w:before="94" w:after="0" w:line="240" w:lineRule="auto"/>
        <w:ind w:left="697" w:right="0" w:hanging="548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Informácie o významných podmienených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záväzkoch</w:t>
      </w:r>
    </w:p>
    <w:p>
      <w:pPr>
        <w:bidi w:val="false"/>
        <w:spacing w:before="7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6"/>
          <w:szCs w:val="22"/>
          <w:vertAlign w:val="baseline"/>
          <w:rtl w:val="0"/>
          <w:lang w:val="sk-SK" w:eastAsia="sk-SK" w:bidi="sk-SK"/>
        </w:rPr>
      </w:pPr>
    </w:p>
    <w:tbl>
      <w:tblPr>
        <w:tblStyle w:val="TableGrid"/>
        <w:tblW w:w="0" w:type="auto"/>
        <w:jc w:val="left"/>
        <w:tblInd w:w="13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  <w:tl2br w:val="none" w:color="auto" w:sz="0" w:space="0"/>
          <w:tr2bl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638"/>
        <w:gridCol w:w="3096"/>
        <w:gridCol w:w="4164"/>
        <w:gridCol w:w="705"/>
        <w:gridCol w:w="1845"/>
      </w:tblGrid>
      <w:tr>
        <w:trPr>
          <w:trHeight w:val="360" w:hRule="atLeast"/>
          <w:jc w:val="left"/>
        </w:trPr>
        <w:tc>
          <w:tcPr>
            <w:tcW w:type="dxa" w:w="3638"/>
            <w:vMerge w:val="restart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205" w:after="0" w:line="240" w:lineRule="auto"/>
              <w:ind w:left="301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Druh podmieneného záväzku</w:t>
            </w:r>
          </w:p>
        </w:tc>
        <w:tc>
          <w:tcPr>
            <w:tcW w:type="dxa" w:w="6305"/>
            <w:gridSpan w:val="2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44" w:after="0" w:line="240" w:lineRule="auto"/>
              <w:ind w:left="1929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Bežné účtovné obdobie</w:t>
            </w:r>
          </w:p>
        </w:tc>
        <w:tc>
          <w:tcPr>
            <w:tcW w:type="dxa" w:w="2550"/>
            <w:gridSpan w:val="2"/>
            <w:tcBorders/>
          </w:tcPr>
          <w:p>
            <w:pPr>
              <w:pStyle w:val="Normal"/>
              <w:rPr/>
            </w:pPr>
          </w:p>
        </w:tc>
      </w:tr>
      <w:tr>
        <w:trPr>
          <w:trHeight w:val="826" w:hRule="atLeast"/>
          <w:jc w:val="left"/>
        </w:trPr>
        <w:tc>
          <w:tcPr>
            <w:tcW w:type="dxa" w:w="2810"/>
            <w:vMerge w:val="continue"/>
            <w:tcBorders>
              <w:top w:val="none" w:color="auto" w:sz="0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</w:tcPr>
          <w:p>
            <w:pPr>
              <w:pStyle w:val="Normal"/>
              <w:rPr/>
            </w:pP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" w:after="0" w:line="240" w:lineRule="auto"/>
              <w:ind w:left="0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4"/>
                <w:szCs w:val="22"/>
                <w:vertAlign w:val="baseline"/>
                <w:rtl w:val="0"/>
                <w:lang w:val="sk-SK" w:eastAsia="sk-SK" w:bidi="sk-SK"/>
              </w:rPr>
            </w:pPr>
          </w:p>
          <w:p>
            <w:pPr>
              <w:bidi w:val="false"/>
              <w:spacing w:before="0" w:after="0" w:line="240" w:lineRule="auto"/>
              <w:ind w:left="703" w:right="0" w:firstLine="0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Hodnota celkom</w:t>
            </w:r>
          </w:p>
        </w:tc>
        <w:tc>
          <w:tcPr>
            <w:tcW w:type="dxa" w:w="3209"/>
            <w:gridSpan w:val="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136" w:after="0" w:line="268" w:lineRule="auto"/>
              <w:ind w:left="158" w:right="98" w:firstLine="108"/>
              <w:jc w:val="left"/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Hodnota voči dcérskej ÚJ a ÚJ s podstatným vplyvom</w:t>
            </w:r>
          </w:p>
        </w:tc>
      </w:tr>
      <w:tr>
        <w:trPr>
          <w:trHeight w:val="257" w:hRule="atLeast"/>
          <w:jc w:val="left"/>
        </w:trPr>
        <w:tc>
          <w:tcPr>
            <w:tcW w:type="dxa" w:w="3638"/>
            <w:tcBorders>
              <w:top w:val="none" w:color="auto" w:sz="0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3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Zo súdnych rozhodnutí</w:t>
            </w:r>
          </w:p>
        </w:tc>
        <w:tc>
          <w:tcPr>
            <w:tcW w:type="dxa" w:w="3096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gridSpan w:val="2"/>
            <w:tcBorders>
              <w:top w:val="none" w:color="auto" w:sz="0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18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 poskytnutých záruk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Zo všeob.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záväzn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právn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 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predp</w:t>
            </w: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.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Zo zmluvy o podriadenom záväzku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0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2" w:after="0" w:line="248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Z ručenia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  <w:tr>
        <w:trPr>
          <w:trHeight w:val="272" w:hRule="atLeast"/>
          <w:jc w:val="left"/>
        </w:trPr>
        <w:tc>
          <w:tcPr>
            <w:tcW w:type="dxa" w:w="3638"/>
            <w:tcBorders>
              <w:top w:val="single" w:color="000000" w:sz="8" w:space="0"/>
              <w:left w:val="single" w:color="000000" w:sz="12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50" w:lineRule="exact"/>
              <w:ind w:left="35" w:right="0" w:firstLine="0"/>
              <w:jc w:val="left"/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</w:pPr>
            <w:r>
              <w:rPr>
                <w:rFonts w:ascii="Arial" w:hAnsi="Arial" w:eastAsia="Arial" w:cs="Arial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2"/>
                <w:szCs w:val="22"/>
                <w:vertAlign w:val="baseline"/>
                <w:rtl w:val="0"/>
                <w:lang w:val="sk-SK" w:eastAsia="sk-SK" w:bidi="sk-SK"/>
              </w:rPr>
              <w:t xml:space="preserve">Iné podmienené záväzky</w:t>
            </w:r>
          </w:p>
        </w:tc>
        <w:tc>
          <w:tcPr>
            <w:tcW w:type="dxa" w:w="3096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single" w:color="000000" w:sz="8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  <w:tc>
          <w:tcPr>
            <w:tcW w:type="dxa" w:w="3209"/>
            <w:gridSpan w:val="2"/>
            <w:tcBorders>
              <w:top w:val="single" w:color="000000" w:sz="8" w:space="0"/>
              <w:left w:val="single" w:color="000000" w:sz="8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bidi w:val="false"/>
              <w:spacing w:before="0" w:after="0" w:line="240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trike w:val="0"/>
                <w:dstrike w:val="0"/>
                <w:color w:val="000000"/>
                <w:sz w:val="20"/>
                <w:szCs w:val="22"/>
                <w:vertAlign w:val="baseline"/>
                <w:rtl w:val="0"/>
                <w:lang w:val="sk-SK" w:eastAsia="sk-SK" w:bidi="sk-SK"/>
              </w:rPr>
            </w:pPr>
          </w:p>
        </w:tc>
      </w:tr>
    </w:tbl>
    <w:p>
      <w:pPr>
        <w:bidi w:val="false"/>
        <w:spacing w:before="1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16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94" w:after="0" w:line="240" w:lineRule="auto"/>
        <w:ind w:left="15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Opis významných podmienených záväzkov:</w:t>
      </w: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0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1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16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94" w:after="0" w:line="268" w:lineRule="auto"/>
        <w:ind w:left="697" w:right="174" w:hanging="548"/>
        <w:jc w:val="both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5.e Opis významných povinností účtovnej jednotky vyplývajúcich z dôchodkových  programov pre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 </w:t>
      </w: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zamestnancov:</w:t>
      </w: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4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4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40" w:lineRule="auto"/>
        <w:ind w:left="0" w:right="0" w:firstLine="0"/>
        <w:jc w:val="left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9"/>
          <w:szCs w:val="22"/>
          <w:vertAlign w:val="baseline"/>
          <w:rtl w:val="0"/>
          <w:lang w:val="sk-SK" w:eastAsia="sk-SK" w:bidi="sk-SK"/>
        </w:rPr>
      </w:pPr>
    </w:p>
    <w:p>
      <w:pPr>
        <w:bidi w:val="false"/>
        <w:spacing w:before="0" w:after="0" w:line="268" w:lineRule="auto"/>
        <w:ind w:left="697" w:right="173" w:hanging="548"/>
        <w:jc w:val="both"/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</w:pPr>
      <w:r>
        <w:rPr>
          <w:rFonts w:ascii="Arial" w:hAnsi="Arial" w:eastAsia="Arial" w:cs="Arial"/>
          <w:b/>
          <w:bCs w:val="0"/>
          <w:i w:val="0"/>
          <w:iCs w:val="0"/>
          <w:strike w:val="0"/>
          <w:dstrike w:val="0"/>
          <w:color w:val="000000"/>
          <w:sz w:val="22"/>
          <w:szCs w:val="22"/>
          <w:vertAlign w:val="baseline"/>
          <w:rtl w:val="0"/>
          <w:lang w:val="sk-SK" w:eastAsia="sk-SK" w:bidi="sk-SK"/>
        </w:rPr>
        <w:t xml:space="preserve">6. Informácie o udelení výlučného práva alebo osobitného práva, ktorým sa udelilo právo poskytovať služby vo verejnom záujme (uvádza sa aj náhrada za túto činnosť v akejkoľvek forme):</w:t>
      </w:r>
    </w:p>
    <w:sectPr>
      <w:type w:val="nextPage"/>
      <w:pgSz w:w="11900" w:h="16840"/>
      <w:pgMar w:top="1060" w:right="780" w:bottom="280" w:left="920" w:header="708" w:footer="708" w:gutter="0"/>
      <w:pgBorders/>
      <w:pgNumType w:fmt="decimal"/>
      <w:cols w:equalWidth="1"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charset w:val="0"/>
    <w:family w:val="auto"/>
    <w:pitch w:val="default"/>
    <w:sig w:usb0="00000000" w:usb1="00000000" w:usb2="00000000" w:usb3="00000000" w:csb0="00000000" w:csb1="00000000"/>
  </w:font>
  <w:font w:name="Arial">
    <w:charset w:val="0"/>
    <w:family w:val="auto"/>
    <w:pitch w:val="default"/>
    <w:sig w:usb0="00000000" w:usb1="00000000" w:usb2="00000000" w:usb3="00000000" w:csb0="00000000" w:csb1="00000000"/>
  </w:font>
  <w:font w:name="Verdana">
    <w:charset w:val="0"/>
    <w:family w:val="auto"/>
    <w:pitch w:val="default"/>
    <w:sig w:usb0="00000000" w:usb1="00000000" w:usb2="00000000" w:usb3="00000000" w:csb0="00000000" w:csb1="00000000"/>
  </w:font>
  <w:font w:name="Times New Roman">
    <w:charset w:val="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F5305A"/>
    <w:lvl w:ilvl="0">
      <w:start w:val="1"/>
      <w:numFmt w:val="decimal"/>
      <w:suff w:val="tab"/>
      <w:lvlText w:val="%1."/>
      <w:pPr>
        <w:bidi w:val="false"/>
        <w:spacing w:before="0" w:after="0" w:line="240" w:lineRule="auto"/>
        <w:ind w:left="697" w:right="0" w:hanging="548"/>
        <w:jc w:val="left"/>
      </w:pPr>
      <w:rPr>
        <w:rFonts w:ascii="Arial" w:hAnsi="Arial" w:eastAsia="Arial" w:cs="Arial"/>
        <w:b/>
        <w:bCs/>
        <w:i w:val="0"/>
        <w:iCs w:val="0"/>
        <w:strike w:val="0"/>
        <w:dstrike w:val="0"/>
        <w:color w:val="000000"/>
        <w:sz w:val="22"/>
        <w:szCs w:val="12"/>
        <w:vertAlign w:val="baseline"/>
        <w:rtl w:val="0"/>
        <w:lang w:val="en-US" w:eastAsia="en-US" w:bidi="ar-SA"/>
      </w:rPr>
    </w:lvl>
    <w:lvl w:ilvl="1">
      <w:start w:val="0"/>
      <w:numFmt w:val="bullet"/>
      <w:suff w:val="tab"/>
      <w:lvlText w:val="•"/>
      <w:pPr>
        <w:bidi w:val="false"/>
        <w:spacing w:before="0" w:after="0" w:line="240" w:lineRule="auto"/>
        <w:ind w:left="16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2">
      <w:start w:val="0"/>
      <w:numFmt w:val="bullet"/>
      <w:suff w:val="tab"/>
      <w:lvlText w:val="•"/>
      <w:pPr>
        <w:bidi w:val="false"/>
        <w:spacing w:before="0" w:after="0" w:line="240" w:lineRule="auto"/>
        <w:ind w:left="26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3">
      <w:start w:val="0"/>
      <w:numFmt w:val="bullet"/>
      <w:suff w:val="tab"/>
      <w:lvlText w:val="•"/>
      <w:pPr>
        <w:bidi w:val="false"/>
        <w:spacing w:before="0" w:after="0" w:line="240" w:lineRule="auto"/>
        <w:ind w:left="35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4">
      <w:start w:val="0"/>
      <w:numFmt w:val="bullet"/>
      <w:suff w:val="tab"/>
      <w:lvlText w:val="•"/>
      <w:pPr>
        <w:bidi w:val="false"/>
        <w:spacing w:before="0" w:after="0" w:line="240" w:lineRule="auto"/>
        <w:ind w:left="45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5">
      <w:start w:val="0"/>
      <w:numFmt w:val="bullet"/>
      <w:suff w:val="tab"/>
      <w:lvlText w:val="•"/>
      <w:pPr>
        <w:bidi w:val="false"/>
        <w:spacing w:before="0" w:after="0" w:line="240" w:lineRule="auto"/>
        <w:ind w:left="54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6">
      <w:start w:val="0"/>
      <w:numFmt w:val="bullet"/>
      <w:suff w:val="tab"/>
      <w:lvlText w:val="•"/>
      <w:pPr>
        <w:bidi w:val="false"/>
        <w:spacing w:before="0" w:after="0" w:line="240" w:lineRule="auto"/>
        <w:ind w:left="64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7">
      <w:start w:val="0"/>
      <w:numFmt w:val="bullet"/>
      <w:suff w:val="tab"/>
      <w:lvlText w:val="•"/>
      <w:pPr>
        <w:bidi w:val="false"/>
        <w:spacing w:before="0" w:after="0" w:line="240" w:lineRule="auto"/>
        <w:ind w:left="73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8">
      <w:start w:val="0"/>
      <w:numFmt w:val="bullet"/>
      <w:suff w:val="tab"/>
      <w:lvlText w:val="•"/>
      <w:pPr>
        <w:bidi w:val="false"/>
        <w:spacing w:before="0" w:after="0" w:line="240" w:lineRule="auto"/>
        <w:ind w:left="83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</w:abstractNum>
  <w:abstractNum w:abstractNumId="1">
    <w:nsid w:val="0A8F8C29"/>
    <w:lvl w:ilvl="0">
      <w:start w:val="1"/>
      <w:numFmt w:val="decimal"/>
      <w:suff w:val="tab"/>
      <w:lvlText w:val="%1."/>
      <w:pPr>
        <w:bidi w:val="false"/>
        <w:spacing w:before="0" w:after="0" w:line="240" w:lineRule="auto"/>
        <w:ind w:left="697" w:right="0" w:hanging="548"/>
        <w:jc w:val="left"/>
      </w:pPr>
      <w:rPr>
        <w:rFonts w:ascii="Arial" w:hAnsi="Arial" w:eastAsia="Arial" w:cs="Arial"/>
        <w:b/>
        <w:bCs/>
        <w:i w:val="0"/>
        <w:iCs w:val="0"/>
        <w:strike w:val="0"/>
        <w:dstrike w:val="0"/>
        <w:color w:val="000000"/>
        <w:sz w:val="22"/>
        <w:szCs w:val="12"/>
        <w:vertAlign w:val="baseline"/>
        <w:rtl w:val="0"/>
        <w:lang w:val="en-US" w:eastAsia="en-US" w:bidi="ar-SA"/>
      </w:rPr>
    </w:lvl>
    <w:lvl w:ilvl="1">
      <w:start w:val="1"/>
      <w:numFmt w:val="lowerLetter"/>
      <w:suff w:val="tab"/>
      <w:lvlText w:val="%1.%2)"/>
      <w:pPr>
        <w:bidi w:val="false"/>
        <w:spacing w:before="0" w:after="0" w:line="240" w:lineRule="auto"/>
        <w:ind w:left="697" w:right="0" w:hanging="548"/>
        <w:jc w:val="left"/>
      </w:pPr>
      <w:rPr>
        <w:rFonts w:ascii="Arial" w:hAnsi="Arial" w:eastAsia="Arial" w:cs="Arial"/>
        <w:b/>
        <w:bCs/>
        <w:i w:val="0"/>
        <w:iCs w:val="0"/>
        <w:strike w:val="0"/>
        <w:dstrike w:val="0"/>
        <w:color w:val="000000"/>
        <w:sz w:val="22"/>
        <w:szCs w:val="12"/>
        <w:vertAlign w:val="baseline"/>
        <w:rtl w:val="0"/>
        <w:lang w:val="en-US" w:eastAsia="en-US" w:bidi="ar-SA"/>
      </w:rPr>
    </w:lvl>
    <w:lvl w:ilvl="2">
      <w:start w:val="0"/>
      <w:numFmt w:val="bullet"/>
      <w:suff w:val="tab"/>
      <w:lvlText w:val="•"/>
      <w:pPr>
        <w:bidi w:val="false"/>
        <w:spacing w:before="0" w:after="0" w:line="240" w:lineRule="auto"/>
        <w:ind w:left="1986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3">
      <w:start w:val="0"/>
      <w:numFmt w:val="bullet"/>
      <w:suff w:val="tab"/>
      <w:lvlText w:val="•"/>
      <w:pPr>
        <w:bidi w:val="false"/>
        <w:spacing w:before="0" w:after="0" w:line="240" w:lineRule="auto"/>
        <w:ind w:left="3013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4">
      <w:start w:val="0"/>
      <w:numFmt w:val="bullet"/>
      <w:suff w:val="tab"/>
      <w:lvlText w:val="•"/>
      <w:pPr>
        <w:bidi w:val="false"/>
        <w:spacing w:before="0" w:after="0" w:line="240" w:lineRule="auto"/>
        <w:ind w:left="404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5">
      <w:start w:val="0"/>
      <w:numFmt w:val="bullet"/>
      <w:suff w:val="tab"/>
      <w:lvlText w:val="•"/>
      <w:pPr>
        <w:bidi w:val="false"/>
        <w:spacing w:before="0" w:after="0" w:line="240" w:lineRule="auto"/>
        <w:ind w:left="5066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6">
      <w:start w:val="0"/>
      <w:numFmt w:val="bullet"/>
      <w:suff w:val="tab"/>
      <w:lvlText w:val="•"/>
      <w:pPr>
        <w:bidi w:val="false"/>
        <w:spacing w:before="0" w:after="0" w:line="240" w:lineRule="auto"/>
        <w:ind w:left="6093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7">
      <w:start w:val="0"/>
      <w:numFmt w:val="bullet"/>
      <w:suff w:val="tab"/>
      <w:lvlText w:val="•"/>
      <w:pPr>
        <w:bidi w:val="false"/>
        <w:spacing w:before="0" w:after="0" w:line="240" w:lineRule="auto"/>
        <w:ind w:left="712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8">
      <w:start w:val="0"/>
      <w:numFmt w:val="bullet"/>
      <w:suff w:val="tab"/>
      <w:lvlText w:val="•"/>
      <w:pPr>
        <w:bidi w:val="false"/>
        <w:spacing w:before="0" w:after="0" w:line="240" w:lineRule="auto"/>
        <w:ind w:left="8146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</w:abstractNum>
  <w:abstractNum w:abstractNumId="2">
    <w:nsid w:val="296A85C3"/>
    <w:lvl w:ilvl="0">
      <w:start w:val="5"/>
      <w:numFmt w:val="decimal"/>
      <w:suff w:val="tab"/>
      <w:lvlText w:val="%1"/>
      <w:pPr>
        <w:bidi w:val="false"/>
        <w:spacing w:before="0" w:after="0" w:line="240" w:lineRule="auto"/>
        <w:ind w:left="759" w:right="0" w:hanging="610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1">
      <w:start w:val="1"/>
      <w:numFmt w:val="lowerLetter"/>
      <w:suff w:val="tab"/>
      <w:lvlText w:val="%1.%2"/>
      <w:pPr>
        <w:bidi w:val="false"/>
        <w:spacing w:before="0" w:after="0" w:line="240" w:lineRule="auto"/>
        <w:ind w:left="759" w:right="0" w:hanging="610"/>
        <w:jc w:val="left"/>
      </w:pPr>
      <w:rPr>
        <w:rFonts w:ascii="Arial" w:hAnsi="Arial" w:eastAsia="Arial" w:cs="Arial"/>
        <w:b/>
        <w:bCs/>
        <w:i w:val="0"/>
        <w:iCs w:val="0"/>
        <w:strike w:val="0"/>
        <w:dstrike w:val="0"/>
        <w:color w:val="000000"/>
        <w:sz w:val="22"/>
        <w:szCs w:val="12"/>
        <w:vertAlign w:val="baseline"/>
        <w:rtl w:val="0"/>
        <w:lang w:val="en-US" w:eastAsia="en-US" w:bidi="ar-SA"/>
      </w:rPr>
    </w:lvl>
    <w:lvl w:ilvl="2">
      <w:start w:val="0"/>
      <w:numFmt w:val="bullet"/>
      <w:suff w:val="tab"/>
      <w:lvlText w:val="•"/>
      <w:pPr>
        <w:bidi w:val="false"/>
        <w:spacing w:before="0" w:after="0" w:line="240" w:lineRule="auto"/>
        <w:ind w:left="2648" w:right="0" w:hanging="610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3">
      <w:start w:val="0"/>
      <w:numFmt w:val="bullet"/>
      <w:suff w:val="tab"/>
      <w:lvlText w:val="•"/>
      <w:pPr>
        <w:bidi w:val="false"/>
        <w:spacing w:before="0" w:after="0" w:line="240" w:lineRule="auto"/>
        <w:ind w:left="3592" w:right="0" w:hanging="610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4">
      <w:start w:val="0"/>
      <w:numFmt w:val="bullet"/>
      <w:suff w:val="tab"/>
      <w:lvlText w:val="•"/>
      <w:pPr>
        <w:bidi w:val="false"/>
        <w:spacing w:before="0" w:after="0" w:line="240" w:lineRule="auto"/>
        <w:ind w:left="4536" w:right="0" w:hanging="610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5">
      <w:start w:val="0"/>
      <w:numFmt w:val="bullet"/>
      <w:suff w:val="tab"/>
      <w:lvlText w:val="•"/>
      <w:pPr>
        <w:bidi w:val="false"/>
        <w:spacing w:before="0" w:after="0" w:line="240" w:lineRule="auto"/>
        <w:ind w:left="5480" w:right="0" w:hanging="610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6">
      <w:start w:val="0"/>
      <w:numFmt w:val="bullet"/>
      <w:suff w:val="tab"/>
      <w:lvlText w:val="•"/>
      <w:pPr>
        <w:bidi w:val="false"/>
        <w:spacing w:before="0" w:after="0" w:line="240" w:lineRule="auto"/>
        <w:ind w:left="6424" w:right="0" w:hanging="610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7">
      <w:start w:val="0"/>
      <w:numFmt w:val="bullet"/>
      <w:suff w:val="tab"/>
      <w:lvlText w:val="•"/>
      <w:pPr>
        <w:bidi w:val="false"/>
        <w:spacing w:before="0" w:after="0" w:line="240" w:lineRule="auto"/>
        <w:ind w:left="7368" w:right="0" w:hanging="610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8">
      <w:start w:val="0"/>
      <w:numFmt w:val="bullet"/>
      <w:suff w:val="tab"/>
      <w:lvlText w:val="•"/>
      <w:pPr>
        <w:bidi w:val="false"/>
        <w:spacing w:before="0" w:after="0" w:line="240" w:lineRule="auto"/>
        <w:ind w:left="8312" w:right="0" w:hanging="610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</w:abstractNum>
  <w:abstractNum w:abstractNumId="3">
    <w:nsid w:val="0433BFA6"/>
    <w:lvl w:ilvl="0">
      <w:start w:val="2"/>
      <w:numFmt w:val="decimal"/>
      <w:suff w:val="tab"/>
      <w:lvlText w:val="%1"/>
      <w:pPr>
        <w:bidi w:val="false"/>
        <w:spacing w:before="0" w:after="0" w:line="240" w:lineRule="auto"/>
        <w:ind w:left="697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1">
      <w:start w:val="1"/>
      <w:numFmt w:val="lowerLetter"/>
      <w:suff w:val="tab"/>
      <w:lvlText w:val="%1.%2"/>
      <w:pPr>
        <w:bidi w:val="false"/>
        <w:spacing w:before="0" w:after="0" w:line="240" w:lineRule="auto"/>
        <w:ind w:left="697" w:right="0" w:hanging="548"/>
        <w:jc w:val="left"/>
      </w:pPr>
      <w:rPr>
        <w:rFonts w:ascii="Arial" w:hAnsi="Arial" w:eastAsia="Arial" w:cs="Arial"/>
        <w:b/>
        <w:bCs/>
        <w:i w:val="0"/>
        <w:iCs w:val="0"/>
        <w:strike w:val="0"/>
        <w:dstrike w:val="0"/>
        <w:color w:val="000000"/>
        <w:sz w:val="22"/>
        <w:szCs w:val="12"/>
        <w:vertAlign w:val="baseline"/>
        <w:rtl w:val="0"/>
        <w:lang w:val="en-US" w:eastAsia="en-US" w:bidi="ar-SA"/>
      </w:rPr>
    </w:lvl>
    <w:lvl w:ilvl="2">
      <w:start w:val="0"/>
      <w:numFmt w:val="bullet"/>
      <w:suff w:val="tab"/>
      <w:lvlText w:val="•"/>
      <w:pPr>
        <w:bidi w:val="false"/>
        <w:spacing w:before="0" w:after="0" w:line="240" w:lineRule="auto"/>
        <w:ind w:left="26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3">
      <w:start w:val="0"/>
      <w:numFmt w:val="bullet"/>
      <w:suff w:val="tab"/>
      <w:lvlText w:val="•"/>
      <w:pPr>
        <w:bidi w:val="false"/>
        <w:spacing w:before="0" w:after="0" w:line="240" w:lineRule="auto"/>
        <w:ind w:left="35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4">
      <w:start w:val="0"/>
      <w:numFmt w:val="bullet"/>
      <w:suff w:val="tab"/>
      <w:lvlText w:val="•"/>
      <w:pPr>
        <w:bidi w:val="false"/>
        <w:spacing w:before="0" w:after="0" w:line="240" w:lineRule="auto"/>
        <w:ind w:left="45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5">
      <w:start w:val="0"/>
      <w:numFmt w:val="bullet"/>
      <w:suff w:val="tab"/>
      <w:lvlText w:val="•"/>
      <w:pPr>
        <w:bidi w:val="false"/>
        <w:spacing w:before="0" w:after="0" w:line="240" w:lineRule="auto"/>
        <w:ind w:left="54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6">
      <w:start w:val="0"/>
      <w:numFmt w:val="bullet"/>
      <w:suff w:val="tab"/>
      <w:lvlText w:val="•"/>
      <w:pPr>
        <w:bidi w:val="false"/>
        <w:spacing w:before="0" w:after="0" w:line="240" w:lineRule="auto"/>
        <w:ind w:left="64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7">
      <w:start w:val="0"/>
      <w:numFmt w:val="bullet"/>
      <w:suff w:val="tab"/>
      <w:lvlText w:val="•"/>
      <w:pPr>
        <w:bidi w:val="false"/>
        <w:spacing w:before="0" w:after="0" w:line="240" w:lineRule="auto"/>
        <w:ind w:left="73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8">
      <w:start w:val="0"/>
      <w:numFmt w:val="bullet"/>
      <w:suff w:val="tab"/>
      <w:lvlText w:val="•"/>
      <w:pPr>
        <w:bidi w:val="false"/>
        <w:spacing w:before="0" w:after="0" w:line="240" w:lineRule="auto"/>
        <w:ind w:left="83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</w:abstractNum>
  <w:abstractNum w:abstractNumId="4">
    <w:nsid w:val="003D97DA"/>
    <w:lvl w:ilvl="0">
      <w:start w:val="3"/>
      <w:numFmt w:val="decimal"/>
      <w:suff w:val="tab"/>
      <w:lvlText w:val="%1."/>
      <w:pPr>
        <w:bidi w:val="false"/>
        <w:spacing w:before="0" w:after="0" w:line="240" w:lineRule="auto"/>
        <w:ind w:left="697" w:right="0" w:hanging="548"/>
        <w:jc w:val="left"/>
      </w:pPr>
      <w:rPr>
        <w:rFonts w:ascii="Arial" w:hAnsi="Arial" w:eastAsia="Arial" w:cs="Arial"/>
        <w:b/>
        <w:bCs/>
        <w:i w:val="0"/>
        <w:iCs w:val="0"/>
        <w:strike w:val="0"/>
        <w:dstrike w:val="0"/>
        <w:color w:val="000000"/>
        <w:sz w:val="22"/>
        <w:szCs w:val="12"/>
        <w:vertAlign w:val="baseline"/>
        <w:rtl w:val="0"/>
        <w:lang w:val="en-US" w:eastAsia="en-US" w:bidi="ar-SA"/>
      </w:rPr>
    </w:lvl>
    <w:lvl w:ilvl="1">
      <w:start w:val="0"/>
      <w:numFmt w:val="bullet"/>
      <w:suff w:val="tab"/>
      <w:lvlText w:val="•"/>
      <w:pPr>
        <w:bidi w:val="false"/>
        <w:spacing w:before="0" w:after="0" w:line="240" w:lineRule="auto"/>
        <w:ind w:left="16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2">
      <w:start w:val="0"/>
      <w:numFmt w:val="bullet"/>
      <w:suff w:val="tab"/>
      <w:lvlText w:val="•"/>
      <w:pPr>
        <w:bidi w:val="false"/>
        <w:spacing w:before="0" w:after="0" w:line="240" w:lineRule="auto"/>
        <w:ind w:left="26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3">
      <w:start w:val="0"/>
      <w:numFmt w:val="bullet"/>
      <w:suff w:val="tab"/>
      <w:lvlText w:val="•"/>
      <w:pPr>
        <w:bidi w:val="false"/>
        <w:spacing w:before="0" w:after="0" w:line="240" w:lineRule="auto"/>
        <w:ind w:left="35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4">
      <w:start w:val="0"/>
      <w:numFmt w:val="bullet"/>
      <w:suff w:val="tab"/>
      <w:lvlText w:val="•"/>
      <w:pPr>
        <w:bidi w:val="false"/>
        <w:spacing w:before="0" w:after="0" w:line="240" w:lineRule="auto"/>
        <w:ind w:left="45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5">
      <w:start w:val="0"/>
      <w:numFmt w:val="bullet"/>
      <w:suff w:val="tab"/>
      <w:lvlText w:val="•"/>
      <w:pPr>
        <w:bidi w:val="false"/>
        <w:spacing w:before="0" w:after="0" w:line="240" w:lineRule="auto"/>
        <w:ind w:left="54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6">
      <w:start w:val="0"/>
      <w:numFmt w:val="bullet"/>
      <w:suff w:val="tab"/>
      <w:lvlText w:val="•"/>
      <w:pPr>
        <w:bidi w:val="false"/>
        <w:spacing w:before="0" w:after="0" w:line="240" w:lineRule="auto"/>
        <w:ind w:left="64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7">
      <w:start w:val="0"/>
      <w:numFmt w:val="bullet"/>
      <w:suff w:val="tab"/>
      <w:lvlText w:val="•"/>
      <w:pPr>
        <w:bidi w:val="false"/>
        <w:spacing w:before="0" w:after="0" w:line="240" w:lineRule="auto"/>
        <w:ind w:left="735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  <w:lvl w:ilvl="8">
      <w:start w:val="0"/>
      <w:numFmt w:val="bullet"/>
      <w:suff w:val="tab"/>
      <w:lvlText w:val="•"/>
      <w:pPr>
        <w:bidi w:val="false"/>
        <w:spacing w:before="0" w:after="0" w:line="240" w:lineRule="auto"/>
        <w:ind w:left="8300" w:right="0" w:hanging="548"/>
        <w:jc w:val="left"/>
      </w:pPr>
      <w:rPr>
        <w:rFonts w:ascii="Verdana" w:hAnsi="Verdana" w:eastAsia="Verdana" w:cs="Verdana"/>
        <w:b w:val="0"/>
        <w:bCs w:val="0"/>
        <w:i w:val="0"/>
        <w:iCs w:val="0"/>
        <w:strike w:val="0"/>
        <w:dstrike w:val="0"/>
        <w:color w:val="000000"/>
        <w:sz w:val="16"/>
        <w:szCs w:val="12"/>
        <w:vertAlign w:val="baseline"/>
        <w:rtl w:val="0"/>
        <w:lang w:val="en-US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0"/>
  </w:num>
  <w:num w:numId="8">
    <w:abstractNumId w:val="3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sl="http://schemas.openxmlformats.org/schemaLibrary/2006/main" xmlns:w="http://schemas.openxmlformats.org/wordprocessingml/2006/main" mc:Ignorable="w14 w15">
  <w:zoom w:val="none" w:percent="100"/>
  <w:displayBackgroundShape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hAnsi="Calibri" w:eastAsia="Calibri" w:cs="Calibri"/>
        <w:b w:val="0"/>
        <w:bCs w:val="0"/>
        <w:i w:val="0"/>
        <w:iCs w:val="0"/>
        <w:strike w:val="0"/>
        <w:dstrike w:val="0"/>
        <w:color w:val="000000"/>
        <w:sz w:val="22"/>
        <w:szCs w:val="22"/>
        <w:vertAlign w:val="baseline"/>
        <w:rtl w:val="0"/>
        <w:lang w:val="en-US" w:eastAsia="en-US" w:bidi="ar-SA"/>
      </w:rPr>
    </w:rPrDefault>
    <w:pPrDefault>
      <w:pPr>
        <w:bidi w:val="false"/>
        <w:spacing w:before="0" w:after="0" w:line="240" w:lineRule="auto"/>
        <w:ind w:left="0" w:right="0" w:firstLine="0"/>
        <w:jc w:val="left"/>
      </w:pPr>
    </w:pPrDefault>
  </w:docDefaults>
  <w:style w:type="numbering" w:default="1" w:styleId="NoList">
    <w:name w:val="No List"/>
    <w:uiPriority w:val="99"/>
    <w:semiHidden/>
    <w:unhideWhenUsed/>
  </w:style>
  <w:style w:type="paragraph" w:styleId="Normal" w:default="1">
    <w:name w:val="Normal"/>
    <w:next w:val="Normal"/>
    <w:pPr>
      <w:spacing/>
    </w:pPr>
    <w:rPr>
      <w:rFonts w:ascii="Times New Roman" w:hAnsi="Times New Roman" w:eastAsia="Times New Roman"/>
      <w:sz w:val="24"/>
      <w:szCs w:val="24"/>
      <w:lang w:val="en-US" w:eastAsia="uk-UA" w:bidi="ar-SA"/>
    </w:rPr>
  </w:style>
  <w:style w:type="character" w:styleId="DefaultParagraphFont" w:default="1">
    <w:name w:val="Default Paragraph Font"/>
    <w:semiHidden/>
    <w:unhideWhenUsed/>
    <w:rPr/>
  </w:style>
  <w:style w:type="table" w:styleId="TableNormal" w:default="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&#65279;<?xml version="1.0" encoding="utf-8" standalone="yes"?><Relationships xmlns="http://schemas.openxmlformats.org/package/2006/relationships"><Relationship Id="rId10" Type="http://schemas.openxmlformats.org/officeDocument/2006/relationships/styles" Target="styles.xml" /><Relationship Id="rId11" Type="http://schemas.openxmlformats.org/officeDocument/2006/relationships/settings" Target="settings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fontTable" Target="fontTable.xml" /><Relationship Id="rId1" Type="http://schemas.openxmlformats.org/officeDocument/2006/relationships/image" Target="media/image1.png" /><Relationship Id="rId2" Type="http://schemas.openxmlformats.org/officeDocument/2006/relationships/image" Target="media/image2.png" /><Relationship Id="rId3" Type="http://schemas.openxmlformats.org/officeDocument/2006/relationships/image" Target="media/image3.png" /><Relationship Id="rId4" Type="http://schemas.openxmlformats.org/officeDocument/2006/relationships/image" Target="media/image4.png" /><Relationship Id="rId5" Type="http://schemas.openxmlformats.org/officeDocument/2006/relationships/image" Target="media/image5.png" /><Relationship Id="rId6" Type="http://schemas.openxmlformats.org/officeDocument/2006/relationships/image" Target="media/image6.png" /><Relationship Id="rId7" Type="http://schemas.openxmlformats.org/officeDocument/2006/relationships/image" Target="media/image7.png" /><Relationship Id="rId8" Type="http://schemas.openxmlformats.org/officeDocument/2006/relationships/image" Target="media/image8.png" /><Relationship Id="rId9" Type="http://schemas.openxmlformats.org/officeDocument/2006/relationships/image" Target="media/image9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