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firstLine="4536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ind w:firstLine="3686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1. Názov právnickej osoby a jej sídlo</w:t>
      </w:r>
    </w:p>
    <w:p>
      <w:pPr>
        <w:pStyle w:val="Normal"/>
        <w:rPr>
          <w:b/>
          <w:sz w:val="20"/>
          <w:szCs w:val="20"/>
        </w:rPr>
      </w:pPr>
      <w:r>
        <w:rPr>
          <w:sz w:val="20"/>
          <w:szCs w:val="20"/>
        </w:rPr>
        <w:t xml:space="preserve">Obchodné meno: </w:t>
      </w:r>
      <w:r>
        <w:rPr>
          <w:b/>
          <w:sz w:val="20"/>
          <w:szCs w:val="20"/>
        </w:rPr>
        <w:t>ABOSTAV, s.r.o.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Sídlo: Čínska 19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040 01 Košice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IČO: 46 798 731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Poznámky za účtovné obdobie od 1.1.2023 do 31.12.2023.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Spoločnosť  ABOSTAV,  s. r.o. bola založená 7.8.2012 a do obchodného registra vedeného Okresným súdom Košice I., toho času Mestský súd Košice, bola zapísaná 23.8.2012, do oddielu s. r. o., vložka č. 30469/V.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2. Údaje o konsolidovanom celku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Spoločnosť nie je súčasťou žiadnej skupiny podnikov, a teda nie je súčasťou žiadneho konsolidovaného celku.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3. Priemerný počet zamestnancov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spoločnosti </w:t>
      </w:r>
    </w:p>
    <w:tbl>
      <w:tblPr>
        <w:tblStyle w:val="Mriekatabuky"/>
        <w:tblW w:w="9212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70"/>
        <w:gridCol w:w="3071"/>
        <w:gridCol w:w="3071"/>
      </w:tblGrid>
      <w:tr>
        <w:trPr/>
        <w:tc>
          <w:tcPr>
            <w:tcW w:w="30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30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Bežné účtovné obdobie</w:t>
            </w:r>
          </w:p>
        </w:tc>
        <w:tc>
          <w:tcPr>
            <w:tcW w:w="307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3070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0</w:t>
            </w:r>
          </w:p>
        </w:tc>
        <w:tc>
          <w:tcPr>
            <w:tcW w:w="3071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0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ind w:firstLine="4536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ind w:firstLine="2977"/>
        <w:rPr>
          <w:b/>
          <w:sz w:val="24"/>
          <w:szCs w:val="24"/>
        </w:rPr>
      </w:pPr>
      <w:r>
        <w:rPr>
          <w:b/>
          <w:sz w:val="24"/>
          <w:szCs w:val="24"/>
        </w:rPr>
        <w:t>Informácie o prijatých postupoch</w:t>
      </w:r>
    </w:p>
    <w:p>
      <w:pPr>
        <w:pStyle w:val="ListParagraph"/>
        <w:numPr>
          <w:ilvl w:val="0"/>
          <w:numId w:val="1"/>
        </w:numPr>
        <w:ind w:left="0" w:hanging="0"/>
        <w:rPr>
          <w:sz w:val="20"/>
          <w:szCs w:val="20"/>
        </w:rPr>
      </w:pPr>
      <w:r>
        <w:rPr>
          <w:sz w:val="20"/>
          <w:szCs w:val="20"/>
        </w:rPr>
        <w:t>Účtovná jednotka bola vypracovaná v súlade so zákonom č. 431/2002 Z. z.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Táto účtovná závierka bola vypracovaná za predpokladu nepretržitého trvania účtovnej jednotky, t.j. vychádza z predpokladu, že spoločnosť bude realizovať svoje aktíva, záväzky a dohody v rámci riadneho chodu svojej činnosti.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2. Spôsob ocenenia jednotlivých zložiek majetku a záväzkov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a) Dlhodobý nehmotný a dlhodobý hmotný majetok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Ocenenie pri obstaraní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Dlhodobý nehmotný a hmotný majetok sa vykazuje v obstarávacích cenách mínus oprávky a straty zo zníženia hodnoty (opravné položky). Obstarávacia cena zahrňuje cenu obstarania a náklady súvisiace s obstaraním (clo, dovoznú prirážku, prepravu, montáž a pod.). Súčasťou obstarávacej ceny nie sú úroky z úverov. Dlhodobý finančný majetok účtovná jednotka nevlastní.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b) Zásoby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Nakupované zásoby rovnakého druhu sú na sklad účtované v obstarávacích cenách, a to tým spôsobom, že obstarávacia cena zásob je v analytickej evidencii v čistej realizačnej hodnote a pri vyskladnení sa používa ocenenie, tak ako boli prijaté na sklad.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Zásoby obstarané bezplatne, nájdené (prebytky zásob), odpad a zvyškové produkty vrátené z výroby sa ocenia podľa odborného odhadu ich úžitkovej hodnoty. V roku 2023 takéto zásoby spoločnosť nemala.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Toto ocenenie zásob sa upravuje o zníženie hodnoty zásob (tvorbou opravnej položky) zistené inventarizáciou. V roku 2023 spoločnosť netvorila opravnú položku k zásobám.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c) Pohľadávky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Pohľadávky sa pri ich vzniku oceňujú ich menovitou hodnotou; postúpené pohľadávky sa oceňujú obstarávacou cenou, vrátane nákladov súvisiacich s obstaraním. Toto ocenenie sa znižuje o pochybné a nevymožiteľné pohľadávky (tvorbou opravnej položky).</w:t>
      </w:r>
      <w:r>
        <w:rPr/>
        <w:t xml:space="preserve"> </w:t>
      </w:r>
      <w:r>
        <w:rPr>
          <w:sz w:val="20"/>
          <w:szCs w:val="20"/>
        </w:rPr>
        <w:t>Spoločnosť v roku 2023 netvorila opravnú položku k takému majetku.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d) Krátkodobý finančný majetok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Peňažné prostriedky a ceniny sa oceňujú ich menovitou hodnotou. Zníženie ich hodnoty sa vyjadruje opravnou položkou. Spoločnosť v roku 2023 netvorila opravnú položku k takému majetku.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e) Záväzky vrátane rezerv, dlhopisov a pôžičiek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Rezervy účtovná jednotka netvorila, dlhopisy neemitovala. pôžičky oceňuje menovitou hodnotou.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f) Derivátové operácie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derivátové operácie nevykonávala.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3. Spôsob zostavenia odpisového plánu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Dlhodobý nehmotný majetok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Odpisy dlhodobého nehmotného majetku sú stanovené vychádzajúc z predpokladanej doby jeho používania. Odpisovať sa začína počnúc mesiacom zaradenia dlhodobého majetku do používania. V roku 2023 spoločnosť neúčtuje o dlhodobom nehmotnom majetku.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Dlhodobý hmotný majetok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Odpisy dlhodobého hmotného majetku sú stanovené vychádzajúc z predpokladanej doby jeho používania a predpokladaného priebehu jeho opotrebovania. Odpisovať sa začína počnúc mesiacom zaradenia dlhodobého majetku do používania.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Spoločnosť vedie kategóriu drobného dlhodobého hmotného majetku, ktorého obstarávacia cena bola 1 700 EUR a nižšia sa pri obstaraní účtovala priamo do nákladov majetku na základe individuálneho posúdenia a vedie k nemu potrebnú evidenciu.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Predpokladaná doba používania, metóda odpisovania a odpisová sadzba: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Dlhodobý hmotný majetok</w:t>
      </w:r>
    </w:p>
    <w:tbl>
      <w:tblPr>
        <w:tblStyle w:val="Mriekatabuky"/>
        <w:tblW w:w="9212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303"/>
        <w:gridCol w:w="2303"/>
        <w:gridCol w:w="2303"/>
        <w:gridCol w:w="2302"/>
      </w:tblGrid>
      <w:tr>
        <w:trPr/>
        <w:tc>
          <w:tcPr>
            <w:tcW w:w="230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b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val="sk-SK" w:eastAsia="en-US" w:bidi="ar-SA"/>
              </w:rPr>
              <w:t>Dlhodobý hmotný majetok</w:t>
            </w:r>
          </w:p>
        </w:tc>
        <w:tc>
          <w:tcPr>
            <w:tcW w:w="2303" w:type="dxa"/>
            <w:tcBorders/>
            <w:vAlign w:val="center"/>
          </w:tcPr>
          <w:p>
            <w:pPr>
              <w:pStyle w:val="NormalWeb"/>
              <w:widowControl w:val="false"/>
              <w:suppressAutoHyphens w:val="true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rStyle w:val="Strong"/>
                <w:kern w:val="0"/>
                <w:sz w:val="20"/>
                <w:szCs w:val="20"/>
                <w:lang w:val="sk-SK" w:bidi="ar-SA"/>
              </w:rPr>
              <w:t>Predpokladaná doba používania v rokoch</w:t>
            </w:r>
          </w:p>
        </w:tc>
        <w:tc>
          <w:tcPr>
            <w:tcW w:w="2303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Style w:val="Strong"/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Metóda odpisovania</w:t>
            </w:r>
          </w:p>
        </w:tc>
        <w:tc>
          <w:tcPr>
            <w:tcW w:w="230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b/>
                <w:sz w:val="20"/>
                <w:szCs w:val="20"/>
              </w:rPr>
            </w:pPr>
            <w:r>
              <w:rPr>
                <w:rFonts w:eastAsia="Calibri" w:cs=""/>
                <w:b/>
                <w:kern w:val="0"/>
                <w:sz w:val="20"/>
                <w:szCs w:val="20"/>
                <w:lang w:val="sk-SK" w:eastAsia="en-US" w:bidi="ar-SA"/>
              </w:rPr>
              <w:t>Ročná odpisová sadzba v %</w:t>
            </w:r>
          </w:p>
        </w:tc>
      </w:tr>
      <w:tr>
        <w:trPr/>
        <w:tc>
          <w:tcPr>
            <w:tcW w:w="230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Hmotný majetok</w:t>
            </w:r>
          </w:p>
        </w:tc>
        <w:tc>
          <w:tcPr>
            <w:tcW w:w="2303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4</w:t>
            </w:r>
          </w:p>
        </w:tc>
        <w:tc>
          <w:tcPr>
            <w:tcW w:w="2303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lineárna</w:t>
            </w:r>
          </w:p>
        </w:tc>
        <w:tc>
          <w:tcPr>
            <w:tcW w:w="2302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sz w:val="20"/>
                <w:szCs w:val="20"/>
              </w:rPr>
            </w:pPr>
            <w:r>
              <w:rPr>
                <w:rFonts w:eastAsia="Calibri" w:cs=""/>
                <w:kern w:val="0"/>
                <w:sz w:val="20"/>
                <w:szCs w:val="20"/>
                <w:lang w:val="sk-SK" w:eastAsia="en-US" w:bidi="ar-SA"/>
              </w:rPr>
              <w:t>25</w:t>
            </w:r>
          </w:p>
        </w:tc>
      </w:tr>
    </w:tbl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4. Zmeny účtovných zásad a účtovných metód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neuskutočnila zmeny účtovných zásad a účtovných metód. V roku 2022 zostavovala účtovnú závierku ako mikro účtovná jednotka a od 1.1.2023 sa zatriedila tiež ako mikro účtovná jednotka a zostavuje účtovnú závierku podľa opatrenia MF SR č. MF/15464/2014-74 v znení opatrenia č. MF/18008/2014-74 , a MF/14775/2017-74.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5. Informácie o dotáciách a ich oceňovanie v účtovníctve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nebola prijímateľom dotácií.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6 Informácie o účtovaní významných opráv chýb minulých účtovných období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neúčtovala o opravách chýb.</w:t>
      </w:r>
    </w:p>
    <w:p>
      <w:pPr>
        <w:pStyle w:val="Normal"/>
        <w:ind w:firstLine="4536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ind w:firstLine="1134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 doplňujú súvahu a výkaz ziskov a strát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1. Informácie o položkách s výnimočným rozsahom, alebo výskytom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Účtovnej jednotke nevznikli prípady s výnimočným rozsahom.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2. Informácie o záväzkoch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a) Záväzky so zostatkovou dobou splatnosti viac ako 5 rokov.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záväzky so zostatkovou lehotou viac ako 5 rokov.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b) Celková suma zabezpečených záväzkov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 Spoločnosť vo vykazovanom období neevidovala zabezpečené záväzky, napr. záložným právom.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3. Informácie o vlastných akciách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 Účtovná jednotka nemá formu akciovej spoločnosti a nenadobúda vlastné akcie.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4. Informácie o orgánoch účtovnej jednotky, a to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a) výške jednotlivých záruk, alebo iných zabezpečení poskytnutých pre členov štatutárneho orgánu, dozorného orgánu alebo iného orgánu účtovnej jednotky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b) pôžičkách poskytnutým členom štatutárneho orgánu, dozorného orgánu alebo iného orgánu účtovnej jednotky.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c) hlavných podmienkach záruk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d) celkovej sume použitých finančných prostriedkov alebo iného plnenia na súkromné účely členmi štatutárneho orgánu, dozorného orgánu alebo iného orgánu účtovnej jednotky.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e/ kapitálový fond z príspevkov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nevytvorila kapitálový fond z príspevkov.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5. Informácie o povinnostiach účtovnej jednotky, a to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a) celkovej sume finančných povinností, ktoré sa nevykazujú v súvahe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b) celkovej sume významných podmienených záväzkov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Účtovná jednotka nemá obsahovú náplň pre túto položku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c) opise významných finančných povinností a významných podmienených záväzkoch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Účtovná jednotka nemá obsahovú náplň pre túto položku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d) opise významných finančných povinností a významných podmienených záväzkoch voči dcérskej spoločnosti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e) opise významných povinností účtovnej jednotky vyplývajúcich z dôchodkových programov pre zamestnancov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položku.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6. Informácie o udelení výlučného práva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Účtovná jednotka nemá obsahovú náplň pre túto položku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200"/>
        <w:rPr>
          <w:sz w:val="20"/>
          <w:szCs w:val="20"/>
        </w:rPr>
      </w:pPr>
      <w:r>
        <w:rPr>
          <w:sz w:val="20"/>
          <w:szCs w:val="20"/>
        </w:rPr>
        <w:t>V Košiciach dňa 2.3.2024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8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240704162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4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0" w:after="200"/>
      <w:rPr>
        <w:sz w:val="24"/>
        <w:szCs w:val="24"/>
      </w:rPr>
    </w:pPr>
    <w:r>
      <w:rPr>
        <w:sz w:val="24"/>
        <w:szCs w:val="24"/>
      </w:rPr>
      <w:t>POZNÁMKY Úč MUJ 3-01                         IČO 46798731                                   DIČ2023583936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32"/>
        <w:szCs w:val="3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d642b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32"/>
      <w:szCs w:val="3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603589"/>
    <w:rPr/>
  </w:style>
  <w:style w:type="character" w:styleId="PtaChar" w:customStyle="1">
    <w:name w:val="Päta Char"/>
    <w:basedOn w:val="DefaultParagraphFont"/>
    <w:uiPriority w:val="99"/>
    <w:qFormat/>
    <w:rsid w:val="00603589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603589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f13fa8"/>
    <w:rPr>
      <w:b/>
      <w:bCs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603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603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60358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63f3b"/>
    <w:pPr>
      <w:spacing w:before="0" w:after="20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f13fa8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f7692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AE7C8A-1613-4EC1-950A-9A3E6C74C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Application>LibreOffice/7.5.5.2$Windows_X86_64 LibreOffice_project/ca8fe7424262805f223b9a2334bc7181abbcbf5e</Application>
  <AppVersion>15.0000</AppVersion>
  <Pages>4</Pages>
  <Words>1084</Words>
  <Characters>6761</Characters>
  <CharactersWithSpaces>7809</CharactersWithSpaces>
  <Paragraphs>100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2023-03-27T16:15:00Z</dcterms:created>
  <dc:creator>Braňo</dc:creator>
  <dc:description/>
  <dc:language>sk-SK</dc:language>
  <cp:lastModifiedBy/>
  <cp:lastPrinted>2023-03-27T16:15:00Z</cp:lastPrinted>
  <dcterms:modified xsi:type="dcterms:W3CDTF">2024-03-03T18:09:08Z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