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4B2" w:rsidRDefault="00D454B2">
      <w:pPr>
        <w:widowControl w:val="0"/>
        <w:autoSpaceDE w:val="0"/>
        <w:autoSpaceDN w:val="0"/>
        <w:adjustRightInd w:val="0"/>
        <w:spacing w:after="0" w:line="359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1E0"/>
      </w:tblPr>
      <w:tblGrid>
        <w:gridCol w:w="2943"/>
        <w:gridCol w:w="3167"/>
        <w:gridCol w:w="3586"/>
      </w:tblGrid>
      <w:tr w:rsidR="00D454B2" w:rsidTr="00343FAB">
        <w:tc>
          <w:tcPr>
            <w:tcW w:w="3206" w:type="dxa"/>
          </w:tcPr>
          <w:p w:rsidR="00D454B2" w:rsidRPr="00D454B2" w:rsidRDefault="00D454B2" w:rsidP="00343FAB">
            <w:pPr>
              <w:widowControl w:val="0"/>
              <w:autoSpaceDE w:val="0"/>
              <w:autoSpaceDN w:val="0"/>
              <w:adjustRightInd w:val="0"/>
              <w:spacing w:after="0" w:line="359" w:lineRule="exac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454B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Poznámky </w:t>
            </w:r>
            <w:proofErr w:type="spellStart"/>
            <w:r w:rsidRPr="00D454B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</w:t>
            </w:r>
            <w:proofErr w:type="spellEnd"/>
            <w:r w:rsidRPr="00D454B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MÚJ 3 - 01</w:t>
            </w:r>
          </w:p>
        </w:tc>
        <w:tc>
          <w:tcPr>
            <w:tcW w:w="3207" w:type="dxa"/>
          </w:tcPr>
          <w:p w:rsidR="00D454B2" w:rsidRPr="00D454B2" w:rsidRDefault="00D454B2" w:rsidP="00343FAB">
            <w:pPr>
              <w:widowControl w:val="0"/>
              <w:autoSpaceDE w:val="0"/>
              <w:autoSpaceDN w:val="0"/>
              <w:adjustRightInd w:val="0"/>
              <w:spacing w:after="0" w:line="359" w:lineRule="exac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454B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IČO  </w:t>
            </w:r>
          </w:p>
          <w:tbl>
            <w:tblPr>
              <w:tblStyle w:val="Mriekatabuky"/>
              <w:tblW w:w="0" w:type="auto"/>
              <w:tblLook w:val="01E0"/>
            </w:tblPr>
            <w:tblGrid>
              <w:gridCol w:w="367"/>
              <w:gridCol w:w="367"/>
              <w:gridCol w:w="367"/>
              <w:gridCol w:w="368"/>
              <w:gridCol w:w="368"/>
              <w:gridCol w:w="368"/>
              <w:gridCol w:w="368"/>
              <w:gridCol w:w="368"/>
            </w:tblGrid>
            <w:tr w:rsidR="00D454B2" w:rsidRPr="00D454B2" w:rsidTr="00343FAB">
              <w:tc>
                <w:tcPr>
                  <w:tcW w:w="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2756F2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2756F2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2756F2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7</w:t>
                  </w:r>
                </w:p>
              </w:tc>
              <w:tc>
                <w:tcPr>
                  <w:tcW w:w="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2756F2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2756F2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2756F2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2756F2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8</w:t>
                  </w:r>
                </w:p>
              </w:tc>
              <w:tc>
                <w:tcPr>
                  <w:tcW w:w="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2756F2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2</w:t>
                  </w:r>
                </w:p>
              </w:tc>
            </w:tr>
          </w:tbl>
          <w:p w:rsidR="00D454B2" w:rsidRPr="00D454B2" w:rsidRDefault="00D454B2" w:rsidP="00343FAB">
            <w:pPr>
              <w:widowControl w:val="0"/>
              <w:autoSpaceDE w:val="0"/>
              <w:autoSpaceDN w:val="0"/>
              <w:adjustRightInd w:val="0"/>
              <w:spacing w:after="0" w:line="359" w:lineRule="exac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07" w:type="dxa"/>
          </w:tcPr>
          <w:p w:rsidR="00D454B2" w:rsidRPr="00D454B2" w:rsidRDefault="00D454B2" w:rsidP="00343FAB">
            <w:pPr>
              <w:widowControl w:val="0"/>
              <w:autoSpaceDE w:val="0"/>
              <w:autoSpaceDN w:val="0"/>
              <w:adjustRightInd w:val="0"/>
              <w:spacing w:after="0" w:line="359" w:lineRule="exac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454B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DIČ </w:t>
            </w:r>
          </w:p>
          <w:tbl>
            <w:tblPr>
              <w:tblStyle w:val="Mriekatabuky"/>
              <w:tblW w:w="0" w:type="auto"/>
              <w:tblLook w:val="01E0"/>
            </w:tblPr>
            <w:tblGrid>
              <w:gridCol w:w="336"/>
              <w:gridCol w:w="336"/>
              <w:gridCol w:w="336"/>
              <w:gridCol w:w="336"/>
              <w:gridCol w:w="336"/>
              <w:gridCol w:w="336"/>
              <w:gridCol w:w="336"/>
              <w:gridCol w:w="336"/>
              <w:gridCol w:w="336"/>
              <w:gridCol w:w="336"/>
            </w:tblGrid>
            <w:tr w:rsidR="00D454B2" w:rsidRPr="00D454B2" w:rsidTr="00343FAB">
              <w:tc>
                <w:tcPr>
                  <w:tcW w:w="3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AF1863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3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650246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3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AF1863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3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2756F2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3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2756F2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3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2756F2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9</w:t>
                  </w:r>
                </w:p>
              </w:tc>
              <w:tc>
                <w:tcPr>
                  <w:tcW w:w="3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2756F2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3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2756F2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8</w:t>
                  </w:r>
                </w:p>
              </w:tc>
              <w:tc>
                <w:tcPr>
                  <w:tcW w:w="3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2756F2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3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454B2" w:rsidRPr="00D454B2" w:rsidRDefault="002756F2" w:rsidP="00343FAB">
                  <w:pPr>
                    <w:widowControl w:val="0"/>
                    <w:autoSpaceDE w:val="0"/>
                    <w:autoSpaceDN w:val="0"/>
                    <w:adjustRightInd w:val="0"/>
                    <w:spacing w:after="0" w:line="359" w:lineRule="exact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D454B2" w:rsidRPr="00D454B2" w:rsidRDefault="00D454B2" w:rsidP="00343FAB">
            <w:pPr>
              <w:widowControl w:val="0"/>
              <w:autoSpaceDE w:val="0"/>
              <w:autoSpaceDN w:val="0"/>
              <w:adjustRightInd w:val="0"/>
              <w:spacing w:after="0" w:line="359" w:lineRule="exac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D454B2" w:rsidRDefault="00D454B2">
      <w:pPr>
        <w:widowControl w:val="0"/>
        <w:autoSpaceDE w:val="0"/>
        <w:autoSpaceDN w:val="0"/>
        <w:adjustRightInd w:val="0"/>
        <w:spacing w:after="0" w:line="359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Čl. I Všeobecné údaje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48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Názov právnickej osoby a jej sídlo alebo meno a priezvisko fyzickej osoby. </w:t>
      </w:r>
    </w:p>
    <w:p w:rsidR="00AF1863" w:rsidRDefault="00AF1863" w:rsidP="00AF1863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="002B7A25">
        <w:rPr>
          <w:rFonts w:ascii="Times New Roman" w:hAnsi="Times New Roman" w:cs="Times New Roman"/>
          <w:b/>
          <w:sz w:val="24"/>
          <w:szCs w:val="24"/>
        </w:rPr>
        <w:t xml:space="preserve">KSZ </w:t>
      </w:r>
      <w:proofErr w:type="spellStart"/>
      <w:r w:rsidR="002756F2">
        <w:rPr>
          <w:rFonts w:ascii="Times New Roman" w:hAnsi="Times New Roman" w:cs="Times New Roman"/>
          <w:b/>
          <w:sz w:val="24"/>
          <w:szCs w:val="24"/>
        </w:rPr>
        <w:t>Bau</w:t>
      </w:r>
      <w:proofErr w:type="spellEnd"/>
      <w:r w:rsidR="00E40929">
        <w:rPr>
          <w:rFonts w:ascii="Times New Roman" w:hAnsi="Times New Roman" w:cs="Times New Roman"/>
          <w:b/>
          <w:sz w:val="24"/>
          <w:szCs w:val="24"/>
        </w:rPr>
        <w:t xml:space="preserve"> s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2B7A2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r.</w:t>
      </w:r>
      <w:r w:rsidR="002B7A2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o.</w:t>
      </w:r>
    </w:p>
    <w:p w:rsidR="00041117" w:rsidRDefault="00AF1863" w:rsidP="00ED73F0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proofErr w:type="spellStart"/>
      <w:r w:rsidR="002756F2">
        <w:rPr>
          <w:rFonts w:ascii="Times New Roman" w:hAnsi="Times New Roman" w:cs="Times New Roman"/>
          <w:b/>
          <w:sz w:val="24"/>
          <w:szCs w:val="24"/>
        </w:rPr>
        <w:t>B</w:t>
      </w:r>
      <w:r w:rsidR="0096798E">
        <w:rPr>
          <w:rFonts w:ascii="Times New Roman" w:hAnsi="Times New Roman" w:cs="Times New Roman"/>
          <w:b/>
          <w:sz w:val="24"/>
          <w:szCs w:val="24"/>
        </w:rPr>
        <w:t>o</w:t>
      </w:r>
      <w:r w:rsidR="002756F2">
        <w:rPr>
          <w:rFonts w:ascii="Times New Roman" w:hAnsi="Times New Roman" w:cs="Times New Roman"/>
          <w:b/>
          <w:sz w:val="24"/>
          <w:szCs w:val="24"/>
        </w:rPr>
        <w:t>csákova</w:t>
      </w:r>
      <w:proofErr w:type="spellEnd"/>
      <w:r w:rsidR="00E40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756F2">
        <w:rPr>
          <w:rFonts w:ascii="Times New Roman" w:hAnsi="Times New Roman" w:cs="Times New Roman"/>
          <w:b/>
          <w:sz w:val="24"/>
          <w:szCs w:val="24"/>
        </w:rPr>
        <w:t>241/23</w:t>
      </w:r>
    </w:p>
    <w:p w:rsidR="00AE3E1A" w:rsidRDefault="00041117" w:rsidP="00ED73F0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="00AF1863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>29 01  Dunajská Streda</w:t>
      </w:r>
    </w:p>
    <w:p w:rsidR="00AE3E1A" w:rsidRDefault="00AE3E1A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Údaje o konsolidovanom celku, a to </w:t>
      </w:r>
      <w:r w:rsidR="00ED73F0">
        <w:rPr>
          <w:rFonts w:ascii="Times New Roman" w:hAnsi="Times New Roman" w:cs="Times New Roman"/>
          <w:b/>
          <w:sz w:val="24"/>
          <w:szCs w:val="24"/>
        </w:rPr>
        <w:t>neaktuálne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1"/>
          <w:numId w:val="1"/>
        </w:numPr>
        <w:tabs>
          <w:tab w:val="clear" w:pos="1440"/>
          <w:tab w:val="num" w:pos="1280"/>
        </w:tabs>
        <w:overflowPunct w:val="0"/>
        <w:autoSpaceDE w:val="0"/>
        <w:autoSpaceDN w:val="0"/>
        <w:adjustRightInd w:val="0"/>
        <w:spacing w:after="0" w:line="227" w:lineRule="auto"/>
        <w:ind w:left="1280" w:hanging="57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1"/>
          <w:numId w:val="1"/>
        </w:numPr>
        <w:tabs>
          <w:tab w:val="clear" w:pos="1440"/>
          <w:tab w:val="num" w:pos="1280"/>
        </w:tabs>
        <w:overflowPunct w:val="0"/>
        <w:autoSpaceDE w:val="0"/>
        <w:autoSpaceDN w:val="0"/>
        <w:adjustRightInd w:val="0"/>
        <w:spacing w:after="0" w:line="223" w:lineRule="auto"/>
        <w:ind w:left="1280" w:right="20" w:hanging="57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2"/>
          <w:numId w:val="1"/>
        </w:numPr>
        <w:tabs>
          <w:tab w:val="clear" w:pos="2160"/>
          <w:tab w:val="num" w:pos="1700"/>
        </w:tabs>
        <w:overflowPunct w:val="0"/>
        <w:autoSpaceDE w:val="0"/>
        <w:autoSpaceDN w:val="0"/>
        <w:adjustRightInd w:val="0"/>
        <w:spacing w:after="0" w:line="240" w:lineRule="auto"/>
        <w:ind w:left="1700" w:hanging="42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 oslobodení podľa § 22 ods. 8 zákona obchodné meno a sídlo materskej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overflowPunct w:val="0"/>
        <w:autoSpaceDE w:val="0"/>
        <w:autoSpaceDN w:val="0"/>
        <w:adjustRightInd w:val="0"/>
        <w:spacing w:after="0" w:line="192" w:lineRule="auto"/>
        <w:ind w:left="1700"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účtovnej jednotky zostavujúcej konsolidovanú účtovnú závierku podľa osobitných predpisov,</w:t>
      </w:r>
      <w:r>
        <w:rPr>
          <w:rFonts w:ascii="Times New Roman" w:hAnsi="Times New Roman" w:cs="Times New Roman"/>
          <w:sz w:val="32"/>
          <w:szCs w:val="32"/>
          <w:vertAlign w:val="superscript"/>
        </w:rPr>
        <w:t>4)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36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2"/>
          <w:numId w:val="1"/>
        </w:numPr>
        <w:tabs>
          <w:tab w:val="clear" w:pos="2160"/>
          <w:tab w:val="num" w:pos="1700"/>
        </w:tabs>
        <w:overflowPunct w:val="0"/>
        <w:autoSpaceDE w:val="0"/>
        <w:autoSpaceDN w:val="0"/>
        <w:adjustRightInd w:val="0"/>
        <w:spacing w:after="0" w:line="214" w:lineRule="auto"/>
        <w:ind w:left="1700" w:right="20" w:hanging="42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 oslobodení podľa § 22 ods. 12 zákona obchodné meno a sídlo dcérskych účtovných jednotiek.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sz w:val="24"/>
          <w:szCs w:val="24"/>
        </w:rPr>
      </w:pPr>
    </w:p>
    <w:p w:rsidR="00AE3E1A" w:rsidRPr="005E72D9" w:rsidRDefault="00AE3E1A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</w:t>
      </w:r>
      <w:r w:rsidR="00C05F5D">
        <w:rPr>
          <w:rFonts w:ascii="Times New Roman" w:hAnsi="Times New Roman" w:cs="Times New Roman"/>
          <w:sz w:val="24"/>
          <w:szCs w:val="24"/>
        </w:rPr>
        <w:t xml:space="preserve">prepočítaný počet zamestnancov </w:t>
      </w:r>
      <w:r w:rsidR="002756F2">
        <w:rPr>
          <w:rFonts w:ascii="Times New Roman" w:hAnsi="Times New Roman" w:cs="Times New Roman"/>
          <w:sz w:val="24"/>
          <w:szCs w:val="24"/>
        </w:rPr>
        <w:t>– spoločnosť nemá zamestnancov.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 prijatých postupoch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sz w:val="24"/>
          <w:szCs w:val="24"/>
        </w:rPr>
      </w:pPr>
    </w:p>
    <w:p w:rsidR="00AE3E1A" w:rsidRPr="00C05F5D" w:rsidRDefault="00AE3E1A" w:rsidP="00C05F5D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Informácia, či je účtovná závierka zostavená za splnenia predpokladu, že účtovná jednotka bude nepretržite pokračovať</w:t>
      </w:r>
      <w:r w:rsidR="00C05F5D">
        <w:rPr>
          <w:rFonts w:ascii="Times New Roman" w:hAnsi="Times New Roman" w:cs="Times New Roman"/>
          <w:sz w:val="24"/>
          <w:szCs w:val="24"/>
        </w:rPr>
        <w:t xml:space="preserve"> vo svojej činnosti  </w:t>
      </w:r>
      <w:r w:rsidR="00C05F5D" w:rsidRPr="00C05F5D">
        <w:rPr>
          <w:rFonts w:ascii="Times New Roman" w:hAnsi="Times New Roman" w:cs="Times New Roman"/>
          <w:b/>
          <w:sz w:val="24"/>
          <w:szCs w:val="24"/>
        </w:rPr>
        <w:t>ÁNO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oceňovania jednotlivých položiek majetku a záväzkov, a to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 w:rsidP="00C05F5D">
      <w:pPr>
        <w:widowControl w:val="0"/>
        <w:numPr>
          <w:ilvl w:val="1"/>
          <w:numId w:val="2"/>
        </w:numPr>
        <w:tabs>
          <w:tab w:val="clear" w:pos="1440"/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dlhodobého nehmotného majetku</w:t>
      </w:r>
      <w:r w:rsidR="00ED73F0">
        <w:rPr>
          <w:rFonts w:ascii="Times New Roman" w:hAnsi="Times New Roman" w:cs="Times New Roman"/>
          <w:sz w:val="24"/>
          <w:szCs w:val="24"/>
        </w:rPr>
        <w:t xml:space="preserve"> - </w:t>
      </w:r>
      <w:r w:rsidR="00C05F5D" w:rsidRPr="00C05F5D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="00ED73F0">
        <w:rPr>
          <w:rFonts w:ascii="Times New Roman" w:hAnsi="Times New Roman" w:cs="Times New Roman"/>
          <w:b/>
          <w:sz w:val="24"/>
          <w:szCs w:val="24"/>
        </w:rPr>
        <w:t>,</w:t>
      </w:r>
      <w:r w:rsidR="00C05F5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dlhodobého hmotného majetku a dlhodobého finančného majetku</w:t>
      </w:r>
      <w:r w:rsidR="00ED73F0">
        <w:rPr>
          <w:rFonts w:ascii="Times New Roman" w:hAnsi="Times New Roman" w:cs="Times New Roman"/>
          <w:sz w:val="24"/>
          <w:szCs w:val="24"/>
        </w:rPr>
        <w:t xml:space="preserve"> 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73F0">
        <w:rPr>
          <w:rFonts w:ascii="Times New Roman" w:hAnsi="Times New Roman" w:cs="Times New Roman"/>
          <w:b/>
          <w:sz w:val="24"/>
          <w:szCs w:val="24"/>
        </w:rPr>
        <w:t>nominálnou hodnotou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C05F5D" w:rsidP="00C05F5D">
      <w:pPr>
        <w:widowControl w:val="0"/>
        <w:numPr>
          <w:ilvl w:val="1"/>
          <w:numId w:val="2"/>
        </w:numPr>
        <w:tabs>
          <w:tab w:val="clear" w:pos="1440"/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zásob obstaraných kúpou - </w:t>
      </w:r>
      <w:r>
        <w:rPr>
          <w:rFonts w:ascii="Times New Roman" w:hAnsi="Times New Roman" w:cs="Times New Roman"/>
          <w:b/>
          <w:sz w:val="24"/>
          <w:szCs w:val="24"/>
        </w:rPr>
        <w:t>obstarávacou cenou,</w:t>
      </w:r>
      <w:r w:rsidR="00AE3E1A">
        <w:rPr>
          <w:rFonts w:ascii="Times New Roman" w:hAnsi="Times New Roman" w:cs="Times New Roman"/>
          <w:sz w:val="24"/>
          <w:szCs w:val="24"/>
        </w:rPr>
        <w:t xml:space="preserve"> zásob </w:t>
      </w:r>
      <w:r>
        <w:rPr>
          <w:rFonts w:ascii="Times New Roman" w:hAnsi="Times New Roman" w:cs="Times New Roman"/>
          <w:sz w:val="24"/>
          <w:szCs w:val="24"/>
        </w:rPr>
        <w:t xml:space="preserve">vytvorených vlastnou činnosťou - </w:t>
      </w:r>
      <w:r>
        <w:rPr>
          <w:rFonts w:ascii="Times New Roman" w:hAnsi="Times New Roman" w:cs="Times New Roman"/>
          <w:b/>
          <w:sz w:val="24"/>
          <w:szCs w:val="24"/>
        </w:rPr>
        <w:t>neaktuálne</w:t>
      </w:r>
    </w:p>
    <w:p w:rsidR="00AE3E1A" w:rsidRDefault="00AE3E1A">
      <w:pPr>
        <w:widowControl w:val="0"/>
        <w:numPr>
          <w:ilvl w:val="1"/>
          <w:numId w:val="2"/>
        </w:numPr>
        <w:tabs>
          <w:tab w:val="clear" w:pos="1440"/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pohľadávok, </w:t>
      </w:r>
      <w:r w:rsidR="00C05F5D">
        <w:rPr>
          <w:rFonts w:ascii="Times New Roman" w:hAnsi="Times New Roman" w:cs="Times New Roman"/>
          <w:b/>
          <w:sz w:val="24"/>
          <w:szCs w:val="24"/>
        </w:rPr>
        <w:t>nominálnou hodnotou</w:t>
      </w:r>
    </w:p>
    <w:p w:rsidR="00AE3E1A" w:rsidRDefault="00AE3E1A">
      <w:pPr>
        <w:widowControl w:val="0"/>
        <w:numPr>
          <w:ilvl w:val="1"/>
          <w:numId w:val="2"/>
        </w:numPr>
        <w:tabs>
          <w:tab w:val="clear" w:pos="1440"/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krátkodobého finančného majetku, </w:t>
      </w:r>
      <w:r w:rsidR="00ED73F0">
        <w:rPr>
          <w:rFonts w:ascii="Times New Roman" w:hAnsi="Times New Roman" w:cs="Times New Roman"/>
          <w:b/>
          <w:sz w:val="24"/>
          <w:szCs w:val="24"/>
        </w:rPr>
        <w:t>neaktuálne</w:t>
      </w:r>
    </w:p>
    <w:p w:rsidR="00AE3E1A" w:rsidRDefault="00AE3E1A">
      <w:pPr>
        <w:widowControl w:val="0"/>
        <w:numPr>
          <w:ilvl w:val="1"/>
          <w:numId w:val="2"/>
        </w:numPr>
        <w:tabs>
          <w:tab w:val="clear" w:pos="1440"/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záväzkov vrátane rezerv, dlhopisov, pôžičiek a úverov, </w:t>
      </w:r>
      <w:r w:rsidR="00ED73F0">
        <w:rPr>
          <w:rFonts w:ascii="Times New Roman" w:hAnsi="Times New Roman" w:cs="Times New Roman"/>
          <w:b/>
          <w:sz w:val="24"/>
          <w:szCs w:val="24"/>
        </w:rPr>
        <w:t>nominálnou hodnotou</w:t>
      </w:r>
    </w:p>
    <w:p w:rsidR="00AE3E1A" w:rsidRDefault="00AE3E1A">
      <w:pPr>
        <w:widowControl w:val="0"/>
        <w:numPr>
          <w:ilvl w:val="1"/>
          <w:numId w:val="2"/>
        </w:numPr>
        <w:tabs>
          <w:tab w:val="clear" w:pos="1440"/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derivátových operácií. </w:t>
      </w:r>
      <w:r w:rsidR="00ED73F0">
        <w:rPr>
          <w:rFonts w:ascii="Times New Roman" w:hAnsi="Times New Roman" w:cs="Times New Roman"/>
          <w:b/>
          <w:sz w:val="24"/>
          <w:szCs w:val="24"/>
        </w:rPr>
        <w:t>neaktuálne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sz w:val="24"/>
          <w:szCs w:val="24"/>
        </w:rPr>
      </w:pPr>
    </w:p>
    <w:p w:rsidR="002A48F6" w:rsidRDefault="00AE3E1A" w:rsidP="00ED73F0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odpisového plánu pre jednotlivé druhy dlhodobého hmotného majetku a dlhodobého nehmotného majetku, pričom sa uvádza doba odpisovania, použité sadzby odpisov a odp</w:t>
      </w:r>
      <w:r w:rsidR="00ED73F0">
        <w:rPr>
          <w:rFonts w:ascii="Times New Roman" w:hAnsi="Times New Roman" w:cs="Times New Roman"/>
          <w:sz w:val="24"/>
          <w:szCs w:val="24"/>
        </w:rPr>
        <w:t xml:space="preserve">isové metódy pri určení odpisov -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41117">
        <w:rPr>
          <w:rFonts w:ascii="Times New Roman" w:hAnsi="Times New Roman" w:cs="Times New Roman"/>
          <w:b/>
          <w:sz w:val="24"/>
          <w:szCs w:val="24"/>
        </w:rPr>
        <w:t>spoločnosť neeviduje majetok na odpisovanie</w:t>
      </w:r>
      <w:r w:rsidR="00ED73F0">
        <w:rPr>
          <w:rFonts w:ascii="Times New Roman" w:hAnsi="Times New Roman" w:cs="Times New Roman"/>
          <w:b/>
          <w:sz w:val="24"/>
          <w:szCs w:val="24"/>
        </w:rPr>
        <w:t>.</w:t>
      </w:r>
    </w:p>
    <w:p w:rsidR="002A48F6" w:rsidRDefault="002A48F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A48F6" w:rsidRPr="002A48F6" w:rsidRDefault="002A48F6" w:rsidP="002A48F6">
      <w:pPr>
        <w:widowControl w:val="0"/>
        <w:overflowPunct w:val="0"/>
        <w:autoSpaceDE w:val="0"/>
        <w:autoSpaceDN w:val="0"/>
        <w:adjustRightInd w:val="0"/>
        <w:spacing w:after="0" w:line="223" w:lineRule="auto"/>
        <w:ind w:right="2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2A48F6" w:rsidRPr="002A48F6" w:rsidRDefault="002A48F6" w:rsidP="002A48F6">
      <w:pPr>
        <w:widowControl w:val="0"/>
        <w:overflowPunct w:val="0"/>
        <w:autoSpaceDE w:val="0"/>
        <w:autoSpaceDN w:val="0"/>
        <w:adjustRightInd w:val="0"/>
        <w:spacing w:after="0" w:line="215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 w:rsidRPr="002A48F6">
        <w:rPr>
          <w:rFonts w:ascii="Times New Roman" w:hAnsi="Times New Roman" w:cs="Times New Roman"/>
          <w:sz w:val="24"/>
          <w:szCs w:val="24"/>
          <w:vertAlign w:val="superscript"/>
        </w:rPr>
        <w:t>4)</w:t>
      </w:r>
      <w:r w:rsidRPr="002A48F6">
        <w:rPr>
          <w:rFonts w:ascii="Times New Roman" w:hAnsi="Times New Roman" w:cs="Times New Roman"/>
          <w:sz w:val="24"/>
          <w:szCs w:val="24"/>
        </w:rP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</w:t>
      </w:r>
    </w:p>
    <w:p w:rsidR="002A48F6" w:rsidRPr="002A48F6" w:rsidRDefault="002A48F6">
      <w:pPr>
        <w:widowControl w:val="0"/>
        <w:overflowPunct w:val="0"/>
        <w:autoSpaceDE w:val="0"/>
        <w:autoSpaceDN w:val="0"/>
        <w:adjustRightInd w:val="0"/>
        <w:spacing w:after="0" w:line="223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 w:rsidRPr="002A48F6">
        <w:rPr>
          <w:rFonts w:ascii="Times New Roman" w:hAnsi="Times New Roman" w:cs="Times New Roman"/>
          <w:sz w:val="24"/>
          <w:szCs w:val="24"/>
        </w:rPr>
        <w:t>4.2008).</w:t>
      </w:r>
    </w:p>
    <w:p w:rsidR="00AE3E1A" w:rsidRPr="002A48F6" w:rsidRDefault="00AE3E1A">
      <w:pPr>
        <w:widowControl w:val="0"/>
        <w:overflowPunct w:val="0"/>
        <w:autoSpaceDE w:val="0"/>
        <w:autoSpaceDN w:val="0"/>
        <w:adjustRightInd w:val="0"/>
        <w:spacing w:after="0" w:line="223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 w:rsidRPr="002A48F6">
        <w:rPr>
          <w:rFonts w:ascii="Times New Roman" w:hAnsi="Times New Roman" w:cs="Times New Roman"/>
          <w:sz w:val="24"/>
          <w:szCs w:val="24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98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40" w:lineRule="auto"/>
        <w:ind w:left="86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Strana 7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E3E1A" w:rsidSect="002A48F6">
          <w:type w:val="continuous"/>
          <w:pgSz w:w="11900" w:h="16841"/>
          <w:pgMar w:top="142" w:right="1400" w:bottom="284" w:left="1020" w:header="708" w:footer="708" w:gutter="0"/>
          <w:cols w:space="708" w:equalWidth="0">
            <w:col w:w="9480"/>
          </w:cols>
          <w:noEndnote/>
        </w:sectPr>
      </w:pPr>
    </w:p>
    <w:p w:rsidR="00A857D7" w:rsidRDefault="00A857D7" w:rsidP="00A85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bookmarkStart w:id="0" w:name="page2"/>
      <w:bookmarkEnd w:id="0"/>
      <w:r>
        <w:rPr>
          <w:rFonts w:ascii="Times New Roman" w:hAnsi="Times New Roman" w:cs="Times New Roman"/>
          <w:sz w:val="24"/>
          <w:szCs w:val="24"/>
        </w:rPr>
        <w:lastRenderedPageBreak/>
        <w:t>(4)   Zmeny  účtovných  zásad a zmeny účtovných  metód  s uvedením  dôvodu  týchto zmien</w:t>
      </w:r>
    </w:p>
    <w:p w:rsidR="00A857D7" w:rsidRDefault="00A857D7" w:rsidP="00A85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a vyčíslením  ich  vplyvu na  finančnú  hodnotu  majetku,  záväzkov,  základného imania a       </w:t>
      </w:r>
    </w:p>
    <w:p w:rsidR="00A857D7" w:rsidRPr="00ED73F0" w:rsidRDefault="00A857D7" w:rsidP="00A85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výsledku hospodárenia účtovnej jednotky.</w:t>
      </w:r>
      <w:r w:rsidR="00ED73F0">
        <w:rPr>
          <w:rFonts w:ascii="Times New Roman" w:hAnsi="Times New Roman" w:cs="Times New Roman"/>
          <w:sz w:val="24"/>
          <w:szCs w:val="24"/>
        </w:rPr>
        <w:t xml:space="preserve"> </w:t>
      </w:r>
      <w:r w:rsidR="00ED73F0">
        <w:rPr>
          <w:rFonts w:ascii="Times New Roman" w:hAnsi="Times New Roman" w:cs="Times New Roman"/>
          <w:b/>
          <w:sz w:val="24"/>
          <w:szCs w:val="24"/>
        </w:rPr>
        <w:t>neaktuálne</w:t>
      </w:r>
    </w:p>
    <w:p w:rsidR="00A857D7" w:rsidRDefault="00A857D7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</w:rPr>
        <w:t>.</w:t>
      </w:r>
      <w:r w:rsidR="00ED73F0">
        <w:rPr>
          <w:rFonts w:ascii="Times New Roman" w:hAnsi="Times New Roman" w:cs="Times New Roman"/>
        </w:rPr>
        <w:t xml:space="preserve"> </w:t>
      </w:r>
      <w:r w:rsidR="00ED73F0">
        <w:rPr>
          <w:rFonts w:ascii="Times New Roman" w:hAnsi="Times New Roman" w:cs="Times New Roman"/>
          <w:b/>
        </w:rPr>
        <w:t>neaktuálne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 účtovaní významných opráv chýb minulých účtovných období v bežnom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AE3E1A" w:rsidRPr="00ED73F0" w:rsidRDefault="00AE3E1A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ED73F0">
        <w:rPr>
          <w:rFonts w:ascii="Times New Roman" w:hAnsi="Times New Roman" w:cs="Times New Roman"/>
          <w:sz w:val="24"/>
          <w:szCs w:val="24"/>
        </w:rPr>
        <w:t xml:space="preserve"> </w:t>
      </w:r>
      <w:r w:rsidR="00ED73F0">
        <w:rPr>
          <w:rFonts w:ascii="Times New Roman" w:hAnsi="Times New Roman" w:cs="Times New Roman"/>
          <w:b/>
          <w:sz w:val="24"/>
          <w:szCs w:val="24"/>
        </w:rPr>
        <w:t>neaktuálne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III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Informácie, ktoré vysvetľujú a dopĺňajú súvahu a výkaz ziskov a strát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0"/>
          <w:numId w:val="4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27" w:lineRule="auto"/>
        <w:ind w:left="560" w:hanging="55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ED73F0">
        <w:rPr>
          <w:rFonts w:ascii="Times New Roman" w:hAnsi="Times New Roman" w:cs="Times New Roman"/>
          <w:b/>
          <w:sz w:val="24"/>
          <w:szCs w:val="24"/>
        </w:rPr>
        <w:t>neaktuálne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0"/>
          <w:numId w:val="4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 záväzkoch, a to </w:t>
      </w:r>
    </w:p>
    <w:p w:rsidR="00AE3E1A" w:rsidRDefault="00AE3E1A">
      <w:pPr>
        <w:widowControl w:val="0"/>
        <w:numPr>
          <w:ilvl w:val="1"/>
          <w:numId w:val="4"/>
        </w:numPr>
        <w:tabs>
          <w:tab w:val="clear" w:pos="1440"/>
          <w:tab w:val="num" w:pos="1000"/>
        </w:tabs>
        <w:overflowPunct w:val="0"/>
        <w:autoSpaceDE w:val="0"/>
        <w:autoSpaceDN w:val="0"/>
        <w:adjustRightInd w:val="0"/>
        <w:spacing w:after="0" w:line="240" w:lineRule="auto"/>
        <w:ind w:left="1000" w:hanging="43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celkovej sume záväzkov so zostatkovou dobou splatnosti dlhšou ako päť rokov</w:t>
      </w:r>
      <w:r w:rsidR="00ED73F0">
        <w:rPr>
          <w:rFonts w:ascii="Times New Roman" w:hAnsi="Times New Roman" w:cs="Times New Roman"/>
          <w:sz w:val="24"/>
          <w:szCs w:val="24"/>
        </w:rPr>
        <w:t xml:space="preserve"> </w:t>
      </w:r>
      <w:r w:rsidR="00ED73F0">
        <w:rPr>
          <w:rFonts w:ascii="Times New Roman" w:hAnsi="Times New Roman" w:cs="Times New Roman"/>
          <w:b/>
          <w:sz w:val="24"/>
          <w:szCs w:val="24"/>
        </w:rPr>
        <w:t>0 eur</w:t>
      </w:r>
    </w:p>
    <w:p w:rsidR="00AE3E1A" w:rsidRDefault="00AE3E1A">
      <w:pPr>
        <w:widowControl w:val="0"/>
        <w:numPr>
          <w:ilvl w:val="1"/>
          <w:numId w:val="4"/>
        </w:numPr>
        <w:tabs>
          <w:tab w:val="clear" w:pos="1440"/>
          <w:tab w:val="num" w:pos="1000"/>
        </w:tabs>
        <w:overflowPunct w:val="0"/>
        <w:autoSpaceDE w:val="0"/>
        <w:autoSpaceDN w:val="0"/>
        <w:adjustRightInd w:val="0"/>
        <w:spacing w:after="0" w:line="240" w:lineRule="auto"/>
        <w:ind w:left="1000" w:hanging="43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celkovej sume zabezpečených záväzkov, opis a</w:t>
      </w:r>
      <w:r w:rsidR="00ED73F0">
        <w:rPr>
          <w:rFonts w:ascii="Times New Roman" w:hAnsi="Times New Roman" w:cs="Times New Roman"/>
          <w:sz w:val="24"/>
          <w:szCs w:val="24"/>
        </w:rPr>
        <w:t xml:space="preserve"> spôsoby zabezpečenia záväzkov </w:t>
      </w:r>
      <w:r w:rsidR="00ED73F0">
        <w:rPr>
          <w:rFonts w:ascii="Times New Roman" w:hAnsi="Times New Roman" w:cs="Times New Roman"/>
          <w:b/>
          <w:sz w:val="24"/>
          <w:szCs w:val="24"/>
        </w:rPr>
        <w:t>0 eur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0"/>
          <w:numId w:val="4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 vlastných akciách, a to </w:t>
      </w:r>
      <w:r w:rsidR="00ED73F0">
        <w:rPr>
          <w:rFonts w:ascii="Times New Roman" w:hAnsi="Times New Roman" w:cs="Times New Roman"/>
          <w:sz w:val="24"/>
          <w:szCs w:val="24"/>
        </w:rPr>
        <w:t xml:space="preserve"> </w:t>
      </w:r>
      <w:r w:rsidR="00ED73F0">
        <w:rPr>
          <w:rFonts w:ascii="Times New Roman" w:hAnsi="Times New Roman" w:cs="Times New Roman"/>
          <w:b/>
          <w:sz w:val="24"/>
          <w:szCs w:val="24"/>
        </w:rPr>
        <w:t>neaktuálne</w:t>
      </w:r>
    </w:p>
    <w:p w:rsidR="00AE3E1A" w:rsidRDefault="00AE3E1A">
      <w:pPr>
        <w:widowControl w:val="0"/>
        <w:numPr>
          <w:ilvl w:val="1"/>
          <w:numId w:val="4"/>
        </w:numPr>
        <w:tabs>
          <w:tab w:val="clear" w:pos="1440"/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57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dôvode nadobudnutia vlastných akcií počas účtovného obdobia, </w:t>
      </w:r>
    </w:p>
    <w:p w:rsidR="00AE3E1A" w:rsidRDefault="00AE3E1A">
      <w:pPr>
        <w:widowControl w:val="0"/>
        <w:numPr>
          <w:ilvl w:val="1"/>
          <w:numId w:val="4"/>
        </w:numPr>
        <w:tabs>
          <w:tab w:val="clear" w:pos="1440"/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57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informáciách, ktorými sú </w:t>
      </w:r>
    </w:p>
    <w:p w:rsidR="00AE3E1A" w:rsidRDefault="00AE3E1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1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  počet  a  menovitá  hodnota  nadobudnutých  vlastných  akcií  počas  účtovného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1560"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obdobia a počet a menovitá hodnota prevedených vlastných akcií počas účtovného obdobia, pričom sa uvádza percentuálna hodnota týchto vlastných akcií na upísanom základnom imaní,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tabs>
          <w:tab w:val="num" w:pos="1540"/>
        </w:tabs>
        <w:overflowPunct w:val="0"/>
        <w:autoSpaceDE w:val="0"/>
        <w:autoSpaceDN w:val="0"/>
        <w:adjustRightInd w:val="0"/>
        <w:spacing w:after="0" w:line="223" w:lineRule="auto"/>
        <w:ind w:left="1560" w:right="20" w:hanging="4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  <w:t>počet a hodnota, za ktorú sa vlastné akcie počas účtovného obdobia nadobudli a počet a hodnota, za ktorú sa vlastné akcie počas účtovného obdobia previedli na inú osobu,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1"/>
          <w:numId w:val="5"/>
        </w:numPr>
        <w:tabs>
          <w:tab w:val="clear" w:pos="1440"/>
          <w:tab w:val="num" w:pos="1140"/>
        </w:tabs>
        <w:overflowPunct w:val="0"/>
        <w:autoSpaceDE w:val="0"/>
        <w:autoSpaceDN w:val="0"/>
        <w:adjustRightInd w:val="0"/>
        <w:spacing w:after="0" w:line="223" w:lineRule="auto"/>
        <w:ind w:left="1140" w:right="20" w:hanging="57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0"/>
          <w:numId w:val="6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 orgánoch účtovnej jednotky, a to </w:t>
      </w:r>
      <w:r w:rsidR="00ED73F0">
        <w:rPr>
          <w:rFonts w:ascii="Times New Roman" w:hAnsi="Times New Roman" w:cs="Times New Roman"/>
          <w:b/>
          <w:sz w:val="24"/>
          <w:szCs w:val="24"/>
        </w:rPr>
        <w:t>neaktuálne</w:t>
      </w:r>
    </w:p>
    <w:p w:rsidR="00AE3E1A" w:rsidRDefault="00AE3E1A">
      <w:pPr>
        <w:widowControl w:val="0"/>
        <w:numPr>
          <w:ilvl w:val="1"/>
          <w:numId w:val="6"/>
        </w:numPr>
        <w:tabs>
          <w:tab w:val="clear" w:pos="1440"/>
          <w:tab w:val="num" w:pos="1000"/>
        </w:tabs>
        <w:overflowPunct w:val="0"/>
        <w:autoSpaceDE w:val="0"/>
        <w:autoSpaceDN w:val="0"/>
        <w:adjustRightInd w:val="0"/>
        <w:spacing w:after="0" w:line="240" w:lineRule="auto"/>
        <w:ind w:left="1000" w:hanging="43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výške jednotlivých druhov záruk alebo iných zabezpečení poskytnutých pre členov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000" w:righ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štatutárneho orgánu, dozorného orgánu a iného orgánu účtovnej jednotky, a to v členení za jednotlivé orgány,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0"/>
          <w:numId w:val="7"/>
        </w:numPr>
        <w:tabs>
          <w:tab w:val="clear" w:pos="720"/>
          <w:tab w:val="num" w:pos="1000"/>
        </w:tabs>
        <w:overflowPunct w:val="0"/>
        <w:autoSpaceDE w:val="0"/>
        <w:autoSpaceDN w:val="0"/>
        <w:adjustRightInd w:val="0"/>
        <w:spacing w:after="0" w:line="214" w:lineRule="auto"/>
        <w:ind w:left="1000" w:right="20" w:hanging="43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pôžičkách poskytnutých členom štatutárneho orgánu, dozorného orgánu a iného orgánu účtovnej jednotky a to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celková  suma  poskytnutých  pôžičiek  k poslednému  dňu  účtovného  obdobia</w:t>
      </w:r>
    </w:p>
    <w:p w:rsidR="00AE3E1A" w:rsidRDefault="00AE3E1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12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členení za jednotlivé orgány,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0"/>
          <w:numId w:val="8"/>
        </w:numPr>
        <w:tabs>
          <w:tab w:val="clear" w:pos="720"/>
          <w:tab w:val="num" w:pos="1280"/>
        </w:tabs>
        <w:overflowPunct w:val="0"/>
        <w:autoSpaceDE w:val="0"/>
        <w:autoSpaceDN w:val="0"/>
        <w:adjustRightInd w:val="0"/>
        <w:spacing w:after="0" w:line="214" w:lineRule="auto"/>
        <w:ind w:left="1280" w:right="20" w:hanging="28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celková suma splatených pôžičiek k poslednému dňu účtovného obdobia v členení za jednotlivé orgány,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356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40" w:lineRule="auto"/>
        <w:ind w:left="8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Strana 8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E3E1A">
          <w:pgSz w:w="11900" w:h="16841"/>
          <w:pgMar w:top="1408" w:right="1400" w:bottom="300" w:left="1160" w:header="708" w:footer="708" w:gutter="0"/>
          <w:cols w:space="708" w:equalWidth="0">
            <w:col w:w="9340"/>
          </w:cols>
          <w:noEndnote/>
        </w:sect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7" w:lineRule="exact"/>
        <w:rPr>
          <w:rFonts w:ascii="Times New Roman" w:hAnsi="Times New Roman" w:cs="Times New Roman"/>
          <w:sz w:val="24"/>
          <w:szCs w:val="24"/>
        </w:rPr>
      </w:pPr>
      <w:bookmarkStart w:id="1" w:name="page3"/>
      <w:bookmarkEnd w:id="1"/>
    </w:p>
    <w:p w:rsidR="00AE3E1A" w:rsidRDefault="00AE3E1A">
      <w:pPr>
        <w:widowControl w:val="0"/>
        <w:numPr>
          <w:ilvl w:val="4"/>
          <w:numId w:val="9"/>
        </w:numPr>
        <w:tabs>
          <w:tab w:val="clear" w:pos="3600"/>
          <w:tab w:val="num" w:pos="1278"/>
        </w:tabs>
        <w:overflowPunct w:val="0"/>
        <w:autoSpaceDE w:val="0"/>
        <w:autoSpaceDN w:val="0"/>
        <w:adjustRightInd w:val="0"/>
        <w:spacing w:after="0" w:line="214" w:lineRule="auto"/>
        <w:ind w:left="1278" w:right="20" w:hanging="28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celková suma odpustených pôžičiek a odpísaných pôžičiek k poslednému dňu účtovného obdobia v členení za jednotlivé orgány,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1"/>
          <w:numId w:val="10"/>
        </w:numPr>
        <w:tabs>
          <w:tab w:val="clear" w:pos="1440"/>
          <w:tab w:val="num" w:pos="998"/>
        </w:tabs>
        <w:overflowPunct w:val="0"/>
        <w:autoSpaceDE w:val="0"/>
        <w:autoSpaceDN w:val="0"/>
        <w:adjustRightInd w:val="0"/>
        <w:spacing w:after="0" w:line="214" w:lineRule="auto"/>
        <w:ind w:left="998" w:right="20" w:hanging="43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hlavných podmienkach, na základe ktorých im boli záruky alebo iné zabezpečenie a pôžičky poskytnuté; pri pôžičkách sa uvádzajú úrokové sadzby,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1"/>
          <w:numId w:val="10"/>
        </w:numPr>
        <w:tabs>
          <w:tab w:val="clear" w:pos="1440"/>
          <w:tab w:val="num" w:pos="998"/>
        </w:tabs>
        <w:overflowPunct w:val="0"/>
        <w:autoSpaceDE w:val="0"/>
        <w:autoSpaceDN w:val="0"/>
        <w:adjustRightInd w:val="0"/>
        <w:spacing w:after="0" w:line="223" w:lineRule="auto"/>
        <w:ind w:left="998" w:right="20" w:hanging="43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0"/>
          <w:numId w:val="11"/>
        </w:numPr>
        <w:tabs>
          <w:tab w:val="clear" w:pos="720"/>
          <w:tab w:val="num" w:pos="558"/>
        </w:tabs>
        <w:overflowPunct w:val="0"/>
        <w:autoSpaceDE w:val="0"/>
        <w:autoSpaceDN w:val="0"/>
        <w:adjustRightInd w:val="0"/>
        <w:spacing w:after="0" w:line="240" w:lineRule="auto"/>
        <w:ind w:left="558" w:hanging="55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 povinnostiach účtovnej jednotky, a to </w:t>
      </w:r>
      <w:r w:rsidR="00ED73F0">
        <w:rPr>
          <w:rFonts w:ascii="Times New Roman" w:hAnsi="Times New Roman" w:cs="Times New Roman"/>
          <w:b/>
          <w:sz w:val="24"/>
          <w:szCs w:val="24"/>
        </w:rPr>
        <w:t>neaktuálne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2"/>
          <w:numId w:val="11"/>
        </w:numPr>
        <w:tabs>
          <w:tab w:val="clear" w:pos="2160"/>
          <w:tab w:val="num" w:pos="1138"/>
        </w:tabs>
        <w:overflowPunct w:val="0"/>
        <w:autoSpaceDE w:val="0"/>
        <w:autoSpaceDN w:val="0"/>
        <w:adjustRightInd w:val="0"/>
        <w:spacing w:after="0" w:line="231" w:lineRule="auto"/>
        <w:ind w:left="1138" w:hanging="4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4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2"/>
          <w:numId w:val="11"/>
        </w:numPr>
        <w:tabs>
          <w:tab w:val="clear" w:pos="2160"/>
          <w:tab w:val="num" w:pos="1138"/>
        </w:tabs>
        <w:overflowPunct w:val="0"/>
        <w:autoSpaceDE w:val="0"/>
        <w:autoSpaceDN w:val="0"/>
        <w:adjustRightInd w:val="0"/>
        <w:spacing w:after="0" w:line="240" w:lineRule="auto"/>
        <w:ind w:left="1138" w:hanging="4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celkovej sume významných podmienených záväzkov, ktorými sa rozumie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5"/>
          <w:numId w:val="11"/>
        </w:numPr>
        <w:tabs>
          <w:tab w:val="clear" w:pos="4320"/>
          <w:tab w:val="num" w:pos="1558"/>
        </w:tabs>
        <w:overflowPunct w:val="0"/>
        <w:autoSpaceDE w:val="0"/>
        <w:autoSpaceDN w:val="0"/>
        <w:adjustRightInd w:val="0"/>
        <w:spacing w:after="0" w:line="223" w:lineRule="auto"/>
        <w:ind w:left="1558" w:right="20" w:hanging="42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5"/>
          <w:numId w:val="11"/>
        </w:numPr>
        <w:tabs>
          <w:tab w:val="clear" w:pos="4320"/>
          <w:tab w:val="num" w:pos="1558"/>
        </w:tabs>
        <w:overflowPunct w:val="0"/>
        <w:autoSpaceDE w:val="0"/>
        <w:autoSpaceDN w:val="0"/>
        <w:adjustRightInd w:val="0"/>
        <w:spacing w:after="0" w:line="214" w:lineRule="auto"/>
        <w:ind w:left="1558" w:right="20" w:hanging="42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existujúca povinnosť, ktorá vznikla ako dôsledok minulej udalosti, ale ktorá sa nevykazuje v súvahe, pretože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978" w:right="20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2a. nie je pravdepodobné, že na splnenie tejto povinnosti bude potrebný úbytok ekonomických úžitkov, alebo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155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2b.  výška tejto povinnosti sa nedá spoľahlivo oceniť, </w:t>
      </w:r>
    </w:p>
    <w:p w:rsidR="00AE3E1A" w:rsidRDefault="00AE3E1A">
      <w:pPr>
        <w:widowControl w:val="0"/>
        <w:numPr>
          <w:ilvl w:val="3"/>
          <w:numId w:val="11"/>
        </w:numPr>
        <w:tabs>
          <w:tab w:val="clear" w:pos="2880"/>
          <w:tab w:val="num" w:pos="1278"/>
        </w:tabs>
        <w:overflowPunct w:val="0"/>
        <w:autoSpaceDE w:val="0"/>
        <w:autoSpaceDN w:val="0"/>
        <w:adjustRightInd w:val="0"/>
        <w:spacing w:after="0" w:line="240" w:lineRule="auto"/>
        <w:ind w:left="1278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opise významných finančných povinností a významných podmienených záväzkov,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3"/>
          <w:numId w:val="11"/>
        </w:numPr>
        <w:tabs>
          <w:tab w:val="clear" w:pos="2880"/>
          <w:tab w:val="num" w:pos="1278"/>
        </w:tabs>
        <w:overflowPunct w:val="0"/>
        <w:autoSpaceDE w:val="0"/>
        <w:autoSpaceDN w:val="0"/>
        <w:adjustRightInd w:val="0"/>
        <w:spacing w:after="0" w:line="223" w:lineRule="auto"/>
        <w:ind w:left="1278" w:right="20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celkovej sume významných finančných povinností a významných podmienených záväzkoch voči dcérskej účtovnej jednotke a účtovnej jednotke s podstatným vplyvom,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numPr>
          <w:ilvl w:val="3"/>
          <w:numId w:val="11"/>
        </w:numPr>
        <w:tabs>
          <w:tab w:val="clear" w:pos="2880"/>
          <w:tab w:val="num" w:pos="1278"/>
        </w:tabs>
        <w:overflowPunct w:val="0"/>
        <w:autoSpaceDE w:val="0"/>
        <w:autoSpaceDN w:val="0"/>
        <w:adjustRightInd w:val="0"/>
        <w:spacing w:after="0" w:line="214" w:lineRule="auto"/>
        <w:ind w:left="1278" w:right="20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opise významných povinností účtovnej jednotky vyplývajúcich z dôchodkových programov pre zamestnancov. </w:t>
      </w: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:rsidR="00AE3E1A" w:rsidRDefault="00AE3E1A">
      <w:pPr>
        <w:widowControl w:val="0"/>
        <w:autoSpaceDE w:val="0"/>
        <w:autoSpaceDN w:val="0"/>
        <w:adjustRightInd w:val="0"/>
        <w:spacing w:after="0" w:line="240" w:lineRule="auto"/>
        <w:ind w:left="853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Strana 9</w:t>
      </w:r>
    </w:p>
    <w:sectPr w:rsidR="00AE3E1A" w:rsidSect="002B2C7B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000067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0000695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/>
  <w:rsids>
    <w:rsidRoot w:val="00C61159"/>
    <w:rsid w:val="00041117"/>
    <w:rsid w:val="00041CB4"/>
    <w:rsid w:val="00103679"/>
    <w:rsid w:val="00181E98"/>
    <w:rsid w:val="001E515B"/>
    <w:rsid w:val="002756F2"/>
    <w:rsid w:val="002A48F6"/>
    <w:rsid w:val="002B2C7B"/>
    <w:rsid w:val="002B7A25"/>
    <w:rsid w:val="002E24AB"/>
    <w:rsid w:val="00343FAB"/>
    <w:rsid w:val="004C0765"/>
    <w:rsid w:val="004D0F3A"/>
    <w:rsid w:val="004E3670"/>
    <w:rsid w:val="005E72D9"/>
    <w:rsid w:val="005F59BD"/>
    <w:rsid w:val="00650246"/>
    <w:rsid w:val="006F4D28"/>
    <w:rsid w:val="0070403D"/>
    <w:rsid w:val="0096798E"/>
    <w:rsid w:val="00983D21"/>
    <w:rsid w:val="00A857D7"/>
    <w:rsid w:val="00AE3E1A"/>
    <w:rsid w:val="00AF1863"/>
    <w:rsid w:val="00B10366"/>
    <w:rsid w:val="00B97202"/>
    <w:rsid w:val="00C05F5D"/>
    <w:rsid w:val="00C61159"/>
    <w:rsid w:val="00C63089"/>
    <w:rsid w:val="00D454B2"/>
    <w:rsid w:val="00E255FA"/>
    <w:rsid w:val="00E40929"/>
    <w:rsid w:val="00E7564E"/>
    <w:rsid w:val="00E82D95"/>
    <w:rsid w:val="00EC2BBB"/>
    <w:rsid w:val="00ED73F0"/>
    <w:rsid w:val="00F97A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1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locked="0" w:semiHidden="1" w:uiPriority="99"/>
    <w:lsdException w:name="No Spacing" w:locked="0" w:uiPriority="1" w:qFormat="1"/>
    <w:lsdException w:name="Light Shading" w:locked="0" w:uiPriority="60"/>
    <w:lsdException w:name="Light List" w:locked="0" w:uiPriority="61"/>
    <w:lsdException w:name="Light Grid" w:locked="0" w:uiPriority="62"/>
    <w:lsdException w:name="Medium Shading 1" w:locked="0" w:uiPriority="63"/>
    <w:lsdException w:name="Medium Shading 2" w:locked="0" w:uiPriority="64"/>
    <w:lsdException w:name="Medium List 1" w:locked="0" w:uiPriority="65"/>
    <w:lsdException w:name="Medium List 2" w:locked="0" w:uiPriority="66"/>
    <w:lsdException w:name="Medium Grid 1" w:locked="0" w:uiPriority="67"/>
    <w:lsdException w:name="Medium Grid 2" w:locked="0" w:uiPriority="68"/>
    <w:lsdException w:name="Medium Grid 3" w:locked="0" w:uiPriority="69"/>
    <w:lsdException w:name="Dark List" w:locked="0" w:uiPriority="70"/>
    <w:lsdException w:name="Colorful Shading" w:locked="0" w:uiPriority="71"/>
    <w:lsdException w:name="Colorful List" w:locked="0" w:uiPriority="72"/>
    <w:lsdException w:name="Colorful Grid" w:locked="0" w:uiPriority="73"/>
    <w:lsdException w:name="Light Shading Accent 1" w:locked="0" w:uiPriority="60"/>
    <w:lsdException w:name="Light List Accent 1" w:locked="0" w:uiPriority="61"/>
    <w:lsdException w:name="Light Grid Accent 1" w:locked="0" w:uiPriority="62"/>
    <w:lsdException w:name="Medium Shading 1 Accent 1" w:locked="0" w:uiPriority="63"/>
    <w:lsdException w:name="Medium Shading 2 Accent 1" w:locked="0" w:uiPriority="64"/>
    <w:lsdException w:name="Medium List 1 Accent 1" w:locked="0" w:uiPriority="65"/>
    <w:lsdException w:name="Revision" w:locked="0" w:semiHidden="1" w:uiPriority="99"/>
    <w:lsdException w:name="List Paragraph" w:locked="0" w:uiPriority="34" w:qFormat="1"/>
    <w:lsdException w:name="Quote" w:locked="0" w:uiPriority="29" w:qFormat="1"/>
    <w:lsdException w:name="Intense Quote" w:locked="0" w:uiPriority="30" w:qFormat="1"/>
    <w:lsdException w:name="Medium List 2 Accent 1" w:locked="0" w:uiPriority="66"/>
    <w:lsdException w:name="Medium Grid 1 Accent 1" w:locked="0" w:uiPriority="67"/>
    <w:lsdException w:name="Medium Grid 2 Accent 1" w:locked="0" w:uiPriority="68"/>
    <w:lsdException w:name="Medium Grid 3 Accent 1" w:locked="0" w:uiPriority="69"/>
    <w:lsdException w:name="Dark List Accent 1" w:locked="0" w:uiPriority="70"/>
    <w:lsdException w:name="Colorful Shading Accent 1" w:locked="0" w:uiPriority="71"/>
    <w:lsdException w:name="Colorful List Accent 1" w:locked="0" w:uiPriority="72"/>
    <w:lsdException w:name="Colorful Grid Accent 1" w:locked="0" w:uiPriority="73"/>
    <w:lsdException w:name="Light Shading Accent 2" w:locked="0" w:uiPriority="60"/>
    <w:lsdException w:name="Light List Accent 2" w:locked="0" w:uiPriority="61"/>
    <w:lsdException w:name="Light Grid Accent 2" w:locked="0" w:uiPriority="62"/>
    <w:lsdException w:name="Medium Shading 1 Accent 2" w:locked="0" w:uiPriority="63"/>
    <w:lsdException w:name="Medium Shading 2 Accent 2" w:locked="0" w:uiPriority="64"/>
    <w:lsdException w:name="Medium List 1 Accent 2" w:locked="0" w:uiPriority="65"/>
    <w:lsdException w:name="Medium List 2 Accent 2" w:locked="0" w:uiPriority="66"/>
    <w:lsdException w:name="Medium Grid 1 Accent 2" w:locked="0" w:uiPriority="67"/>
    <w:lsdException w:name="Medium Grid 2 Accent 2" w:locked="0" w:uiPriority="68"/>
    <w:lsdException w:name="Medium Grid 3 Accent 2" w:locked="0" w:uiPriority="69"/>
    <w:lsdException w:name="Dark List Accent 2" w:locked="0" w:uiPriority="70"/>
    <w:lsdException w:name="Colorful Shading Accent 2" w:locked="0" w:uiPriority="71"/>
    <w:lsdException w:name="Colorful List Accent 2" w:locked="0" w:uiPriority="72"/>
    <w:lsdException w:name="Colorful Grid Accent 2" w:locked="0" w:uiPriority="73"/>
    <w:lsdException w:name="Light Shading Accent 3" w:locked="0" w:uiPriority="60"/>
    <w:lsdException w:name="Light List Accent 3" w:locked="0" w:uiPriority="61"/>
    <w:lsdException w:name="Light Grid Accent 3" w:locked="0" w:uiPriority="62"/>
    <w:lsdException w:name="Medium Shading 1 Accent 3" w:locked="0" w:uiPriority="63"/>
    <w:lsdException w:name="Medium Shading 2 Accent 3" w:locked="0" w:uiPriority="64"/>
    <w:lsdException w:name="Medium List 1 Accent 3" w:locked="0" w:uiPriority="65"/>
    <w:lsdException w:name="Medium List 2 Accent 3" w:locked="0" w:uiPriority="66"/>
    <w:lsdException w:name="Medium Grid 1 Accent 3" w:locked="0" w:uiPriority="67"/>
    <w:lsdException w:name="Medium Grid 2 Accent 3" w:locked="0" w:uiPriority="68"/>
    <w:lsdException w:name="Medium Grid 3 Accent 3" w:locked="0" w:uiPriority="69"/>
    <w:lsdException w:name="Dark List Accent 3" w:locked="0" w:uiPriority="70"/>
    <w:lsdException w:name="Colorful Shading Accent 3" w:locked="0" w:uiPriority="71"/>
    <w:lsdException w:name="Colorful List Accent 3" w:locked="0" w:uiPriority="72"/>
    <w:lsdException w:name="Colorful Grid Accent 3" w:locked="0" w:uiPriority="73"/>
    <w:lsdException w:name="Light Shading Accent 4" w:locked="0" w:uiPriority="60"/>
    <w:lsdException w:name="Light List Accent 4" w:locked="0" w:uiPriority="61"/>
    <w:lsdException w:name="Light Grid Accent 4" w:locked="0" w:uiPriority="62"/>
    <w:lsdException w:name="Medium Shading 1 Accent 4" w:locked="0" w:uiPriority="63"/>
    <w:lsdException w:name="Medium Shading 2 Accent 4" w:locked="0" w:uiPriority="64"/>
    <w:lsdException w:name="Medium List 1 Accent 4" w:locked="0" w:uiPriority="65"/>
    <w:lsdException w:name="Medium List 2 Accent 4" w:locked="0" w:uiPriority="66"/>
    <w:lsdException w:name="Medium Grid 1 Accent 4" w:locked="0" w:uiPriority="67"/>
    <w:lsdException w:name="Medium Grid 2 Accent 4" w:locked="0" w:uiPriority="68"/>
    <w:lsdException w:name="Medium Grid 3 Accent 4" w:locked="0" w:uiPriority="69"/>
    <w:lsdException w:name="Dark List Accent 4" w:locked="0" w:uiPriority="70"/>
    <w:lsdException w:name="Colorful Shading Accent 4" w:locked="0" w:uiPriority="71"/>
    <w:lsdException w:name="Colorful List Accent 4" w:locked="0" w:uiPriority="72"/>
    <w:lsdException w:name="Colorful Grid Accent 4" w:locked="0" w:uiPriority="73"/>
    <w:lsdException w:name="Light Shading Accent 5" w:locked="0" w:uiPriority="60"/>
    <w:lsdException w:name="Light List Accent 5" w:locked="0" w:uiPriority="61"/>
    <w:lsdException w:name="Light Grid Accent 5" w:locked="0" w:uiPriority="62"/>
    <w:lsdException w:name="Medium Shading 1 Accent 5" w:locked="0" w:uiPriority="63"/>
    <w:lsdException w:name="Medium Shading 2 Accent 5" w:locked="0" w:uiPriority="64"/>
    <w:lsdException w:name="Medium List 1 Accent 5" w:locked="0" w:uiPriority="65"/>
    <w:lsdException w:name="Medium List 2 Accent 5" w:locked="0" w:uiPriority="66"/>
    <w:lsdException w:name="Medium Grid 1 Accent 5" w:locked="0" w:uiPriority="67"/>
    <w:lsdException w:name="Medium Grid 2 Accent 5" w:locked="0" w:uiPriority="68"/>
    <w:lsdException w:name="Medium Grid 3 Accent 5" w:locked="0" w:uiPriority="69"/>
    <w:lsdException w:name="Dark List Accent 5" w:locked="0" w:uiPriority="70"/>
    <w:lsdException w:name="Colorful Shading Accent 5" w:locked="0" w:uiPriority="71"/>
    <w:lsdException w:name="Colorful List Accent 5" w:locked="0" w:uiPriority="72"/>
    <w:lsdException w:name="Colorful Grid Accent 5" w:locked="0" w:uiPriority="73"/>
    <w:lsdException w:name="Light Shading Accent 6" w:locked="0" w:uiPriority="60"/>
    <w:lsdException w:name="Light List Accent 6" w:locked="0" w:uiPriority="61"/>
    <w:lsdException w:name="Light Grid Accent 6" w:locked="0" w:uiPriority="62"/>
    <w:lsdException w:name="Medium Shading 1 Accent 6" w:locked="0" w:uiPriority="63"/>
    <w:lsdException w:name="Medium Shading 2 Accent 6" w:locked="0" w:uiPriority="64"/>
    <w:lsdException w:name="Medium List 1 Accent 6" w:locked="0" w:uiPriority="65"/>
    <w:lsdException w:name="Medium List 2 Accent 6" w:locked="0" w:uiPriority="66"/>
    <w:lsdException w:name="Medium Grid 1 Accent 6" w:locked="0" w:uiPriority="67"/>
    <w:lsdException w:name="Medium Grid 2 Accent 6" w:locked="0" w:uiPriority="68"/>
    <w:lsdException w:name="Medium Grid 3 Accent 6" w:locked="0" w:uiPriority="69"/>
    <w:lsdException w:name="Dark List Accent 6" w:locked="0" w:uiPriority="70"/>
    <w:lsdException w:name="Colorful Shading Accent 6" w:locked="0" w:uiPriority="71"/>
    <w:lsdException w:name="Colorful List Accent 6" w:locked="0" w:uiPriority="72"/>
    <w:lsdException w:name="Colorful Grid Accent 6" w:locked="0" w:uiPriority="73"/>
    <w:lsdException w:name="Subtle Emphasis" w:locked="0" w:uiPriority="19" w:qFormat="1"/>
    <w:lsdException w:name="Intense Emphasis" w:locked="0" w:uiPriority="21" w:qFormat="1"/>
    <w:lsdException w:name="Subtle Reference" w:locked="0" w:uiPriority="31" w:qFormat="1"/>
    <w:lsdException w:name="Intense Reference" w:locked="0" w:uiPriority="32" w:qFormat="1"/>
    <w:lsdException w:name="Book Title" w:locked="0" w:uiPriority="33" w:qFormat="1"/>
    <w:lsdException w:name="Bibliography" w:locked="0" w:semiHidden="1" w:uiPriority="37" w:unhideWhenUsed="1"/>
    <w:lsdException w:name="TOC Heading" w:locked="0" w:semiHidden="1" w:uiPriority="39" w:unhideWhenUsed="1" w:qFormat="1"/>
  </w:latentStyles>
  <w:style w:type="paragraph" w:default="1" w:styleId="Normlny">
    <w:name w:val="Normal"/>
    <w:qFormat/>
    <w:rsid w:val="002B2C7B"/>
    <w:pPr>
      <w:spacing w:after="160" w:line="259" w:lineRule="auto"/>
    </w:pPr>
    <w:rPr>
      <w:rFonts w:cs="Calibr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locked/>
    <w:rsid w:val="00D454B2"/>
    <w:pPr>
      <w:spacing w:after="160" w:line="259" w:lineRule="auto"/>
    </w:pPr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1075</Words>
  <Characters>6134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>--</Company>
  <LinksUpToDate>false</LinksUpToDate>
  <CharactersWithSpaces>7195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Office</dc:creator>
  <cp:lastModifiedBy>Transfer</cp:lastModifiedBy>
  <cp:revision>2</cp:revision>
  <dcterms:created xsi:type="dcterms:W3CDTF">2024-03-09T14:05:00Z</dcterms:created>
  <dcterms:modified xsi:type="dcterms:W3CDTF">2024-03-09T14:05:00Z</dcterms:modified>
</cp:coreProperties>
</file>