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Na základe, nedobrého hospodárenia firmy a veľkých výdavkov. Sa používalo veľa finančných prostriedkov a pôžičiek nakoľko stav účtovnej závierky vykazovaľ výsledok 0</w:t>
      </w: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VIGAstav, s. r. o.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lang w:val="sk-SK"/>
      </w:rPr>
    </w:pPr>
    <w:r>
      <w:rPr>
        <w:rFonts w:hint="default"/>
        <w:b/>
        <w:bCs/>
        <w:lang w:val="sk-SK"/>
      </w:rPr>
      <w:t>VIGAstav, s. r. o., Záhr</w:t>
    </w:r>
    <w:bookmarkStart w:id="0" w:name="_GoBack"/>
    <w:bookmarkEnd w:id="0"/>
    <w:r>
      <w:rPr>
        <w:rFonts w:hint="default"/>
        <w:b/>
        <w:bCs/>
        <w:lang w:val="sk-SK"/>
      </w:rPr>
      <w:t>adnicka 46/A, 82108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A5BEF"/>
    <w:rsid w:val="484A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2024-03-05T07:11:00Z</dcterms:created>
  <dc:creator>vigas</dc:creator>
  <cp:lastModifiedBy>vigas</cp:lastModifiedBy>
  <dcterms:modified xsi:type="dcterms:W3CDTF">2024-03-05T07:14:29Z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AB4C05C65A0444FAAC7B6585B027A8E8</vt:lpwstr>
  </property>
</Properties>
</file>