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9EC" w:rsidRPr="00ED59EC" w:rsidRDefault="00ED59EC" w:rsidP="00ED59EC">
      <w:pPr>
        <w:shd w:val="clear" w:color="auto" w:fill="FFFFFF"/>
        <w:spacing w:after="0" w:line="420" w:lineRule="atLeast"/>
        <w:outlineLvl w:val="0"/>
        <w:rPr>
          <w:rFonts w:ascii="Arial" w:eastAsia="Times New Roman" w:hAnsi="Arial" w:cs="Arial"/>
          <w:b/>
          <w:bCs/>
          <w:color w:val="070707"/>
          <w:kern w:val="36"/>
          <w:sz w:val="30"/>
          <w:szCs w:val="30"/>
          <w:lang w:eastAsia="sk-SK"/>
        </w:rPr>
      </w:pPr>
      <w:r w:rsidRPr="00ED59EC">
        <w:rPr>
          <w:rFonts w:ascii="Arial" w:eastAsia="Times New Roman" w:hAnsi="Arial" w:cs="Arial"/>
          <w:b/>
          <w:bCs/>
          <w:color w:val="070707"/>
          <w:kern w:val="36"/>
          <w:sz w:val="30"/>
          <w:szCs w:val="30"/>
          <w:lang w:eastAsia="sk-SK"/>
        </w:rPr>
        <w:t xml:space="preserve">Poznámky k </w:t>
      </w:r>
      <w:proofErr w:type="spellStart"/>
      <w:r w:rsidRPr="00ED59EC">
        <w:rPr>
          <w:rFonts w:ascii="Arial" w:eastAsia="Times New Roman" w:hAnsi="Arial" w:cs="Arial"/>
          <w:b/>
          <w:bCs/>
          <w:color w:val="070707"/>
          <w:kern w:val="36"/>
          <w:sz w:val="30"/>
          <w:szCs w:val="30"/>
          <w:lang w:eastAsia="sk-SK"/>
        </w:rPr>
        <w:t>mikro</w:t>
      </w:r>
      <w:proofErr w:type="spellEnd"/>
      <w:r w:rsidRPr="00ED59EC">
        <w:rPr>
          <w:rFonts w:ascii="Arial" w:eastAsia="Times New Roman" w:hAnsi="Arial" w:cs="Arial"/>
          <w:b/>
          <w:bCs/>
          <w:color w:val="070707"/>
          <w:kern w:val="36"/>
          <w:sz w:val="30"/>
          <w:szCs w:val="30"/>
          <w:lang w:eastAsia="sk-SK"/>
        </w:rPr>
        <w:t xml:space="preserve"> účtovnej závierke za rok 2023</w:t>
      </w:r>
    </w:p>
    <w:p w:rsidR="00ED59EC" w:rsidRPr="00ED59EC" w:rsidRDefault="00ED59EC" w:rsidP="00ED59EC">
      <w:pPr>
        <w:shd w:val="clear" w:color="auto" w:fill="FFFFFF"/>
        <w:spacing w:line="264" w:lineRule="atLeast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. </w:t>
      </w:r>
    </w:p>
    <w:p w:rsidR="00ED59EC" w:rsidRPr="00ED59EC" w:rsidRDefault="00ED59EC" w:rsidP="00ED59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b/>
          <w:bCs/>
          <w:color w:val="000000"/>
          <w:sz w:val="21"/>
          <w:szCs w:val="21"/>
          <w:lang w:eastAsia="sk-SK"/>
        </w:rPr>
        <w:t xml:space="preserve">Dátum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sk-SK"/>
        </w:rPr>
        <w:t>vyhotovenia: 12.3.2024</w:t>
      </w:r>
    </w:p>
    <w:p w:rsidR="00ED59EC" w:rsidRDefault="00ED59EC" w:rsidP="00ED59EC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b/>
          <w:bCs/>
          <w:color w:val="000000"/>
          <w:sz w:val="21"/>
          <w:szCs w:val="21"/>
          <w:lang w:eastAsia="sk-SK"/>
        </w:rPr>
        <w:t>Právny stav od:</w:t>
      </w:r>
      <w:r w:rsidR="00CD15A6">
        <w:rPr>
          <w:rFonts w:ascii="Arial" w:eastAsia="Times New Roman" w:hAnsi="Arial" w:cs="Arial"/>
          <w:b/>
          <w:bCs/>
          <w:color w:val="000000"/>
          <w:sz w:val="21"/>
          <w:szCs w:val="21"/>
          <w:lang w:eastAsia="sk-SK"/>
        </w:rPr>
        <w:t xml:space="preserve"> 1.1.2023 - 31.12.2023</w:t>
      </w:r>
    </w:p>
    <w:p w:rsidR="00ED59EC" w:rsidRPr="00ED59EC" w:rsidRDefault="00ED59EC" w:rsidP="00ED59EC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lang w:eastAsia="sk-SK"/>
        </w:rPr>
      </w:pPr>
    </w:p>
    <w:tbl>
      <w:tblPr>
        <w:tblW w:w="8560" w:type="dxa"/>
        <w:tblInd w:w="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2616"/>
        <w:gridCol w:w="5874"/>
      </w:tblGrid>
      <w:tr w:rsidR="00CD15A6" w:rsidRPr="00ED59EC" w:rsidTr="00CD15A6">
        <w:trPr>
          <w:trHeight w:val="274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5A6" w:rsidRPr="00ED59EC" w:rsidRDefault="00CD15A6" w:rsidP="00ED59EC">
            <w:pPr>
              <w:spacing w:after="0" w:line="264" w:lineRule="atLeast"/>
              <w:rPr>
                <w:rFonts w:ascii="Arial" w:eastAsia="Times New Roman" w:hAnsi="Arial" w:cs="Arial"/>
                <w:lang w:eastAsia="sk-SK"/>
              </w:rPr>
            </w:pPr>
            <w:r w:rsidRPr="00ED59EC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D15A6" w:rsidRPr="00ED59EC" w:rsidRDefault="00CD15A6" w:rsidP="00CD15A6">
            <w:pPr>
              <w:spacing w:after="0" w:line="264" w:lineRule="atLeast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ED59EC">
              <w:rPr>
                <w:rFonts w:ascii="Arial" w:eastAsia="Times New Roman" w:hAnsi="Arial" w:cs="Arial"/>
                <w:lang w:eastAsia="sk-SK"/>
              </w:rPr>
              <w:t xml:space="preserve">IČO: </w:t>
            </w:r>
            <w:r>
              <w:rPr>
                <w:rFonts w:ascii="Arial" w:eastAsia="Times New Roman" w:hAnsi="Arial" w:cs="Arial"/>
                <w:lang w:eastAsia="sk-SK"/>
              </w:rPr>
              <w:t>47614871</w:t>
            </w:r>
          </w:p>
        </w:tc>
        <w:tc>
          <w:tcPr>
            <w:tcW w:w="5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D15A6" w:rsidRPr="00ED59EC" w:rsidRDefault="00CD15A6" w:rsidP="00CD15A6">
            <w:pPr>
              <w:spacing w:after="0" w:line="264" w:lineRule="atLeast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ED59EC">
              <w:rPr>
                <w:rFonts w:ascii="Arial" w:eastAsia="Times New Roman" w:hAnsi="Arial" w:cs="Arial"/>
                <w:lang w:eastAsia="sk-SK"/>
              </w:rPr>
              <w:t xml:space="preserve">DIČ: </w:t>
            </w:r>
            <w:r>
              <w:rPr>
                <w:rFonts w:ascii="Arial" w:eastAsia="Times New Roman" w:hAnsi="Arial" w:cs="Arial"/>
                <w:lang w:eastAsia="sk-SK"/>
              </w:rPr>
              <w:t>2024001815</w:t>
            </w:r>
          </w:p>
        </w:tc>
      </w:tr>
    </w:tbl>
    <w:p w:rsidR="00ED59EC" w:rsidRPr="00ED59EC" w:rsidRDefault="00ED59EC" w:rsidP="00ED59EC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 </w:t>
      </w:r>
    </w:p>
    <w:p w:rsidR="00ED59EC" w:rsidRPr="00ED59EC" w:rsidRDefault="00ED59EC" w:rsidP="00ED59EC">
      <w:pPr>
        <w:shd w:val="clear" w:color="auto" w:fill="FFFFFF"/>
        <w:spacing w:after="0" w:line="264" w:lineRule="atLeast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zostavené podľa opatrenia Ministerstva financií SR č. </w:t>
      </w:r>
      <w:hyperlink r:id="rId6" w:history="1">
        <w:r w:rsidRPr="00ED59EC">
          <w:rPr>
            <w:rFonts w:ascii="Arial" w:eastAsia="Times New Roman" w:hAnsi="Arial" w:cs="Arial"/>
            <w:color w:val="05507A"/>
            <w:lang w:eastAsia="sk-SK"/>
          </w:rPr>
          <w:t>MF/15464/2013-74</w:t>
        </w:r>
      </w:hyperlink>
      <w:r w:rsidRPr="00ED59EC">
        <w:rPr>
          <w:rFonts w:ascii="Arial" w:eastAsia="Times New Roman" w:hAnsi="Arial" w:cs="Arial"/>
          <w:color w:val="000000"/>
          <w:lang w:eastAsia="sk-SK"/>
        </w:rPr>
        <w:t xml:space="preserve">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ED59EC">
        <w:rPr>
          <w:rFonts w:ascii="Arial" w:eastAsia="Times New Roman" w:hAnsi="Arial" w:cs="Arial"/>
          <w:color w:val="000000"/>
          <w:lang w:eastAsia="sk-SK"/>
        </w:rPr>
        <w:t>mikro</w:t>
      </w:r>
      <w:proofErr w:type="spellEnd"/>
      <w:r w:rsidRPr="00ED59EC">
        <w:rPr>
          <w:rFonts w:ascii="Arial" w:eastAsia="Times New Roman" w:hAnsi="Arial" w:cs="Arial"/>
          <w:color w:val="000000"/>
          <w:lang w:eastAsia="sk-SK"/>
        </w:rPr>
        <w:t xml:space="preserve"> účtovné jednotky v znení neskorších predpisov</w:t>
      </w:r>
    </w:p>
    <w:p w:rsidR="00ED59EC" w:rsidRPr="00ED59EC" w:rsidRDefault="00ED59EC" w:rsidP="00ED59EC">
      <w:pPr>
        <w:shd w:val="clear" w:color="auto" w:fill="FFFFFF"/>
        <w:spacing w:after="0" w:line="300" w:lineRule="atLeast"/>
        <w:jc w:val="center"/>
        <w:outlineLvl w:val="3"/>
        <w:rPr>
          <w:rFonts w:ascii="Arial" w:eastAsia="Times New Roman" w:hAnsi="Arial" w:cs="Arial"/>
          <w:b/>
          <w:bCs/>
          <w:color w:val="070707"/>
          <w:sz w:val="21"/>
          <w:szCs w:val="21"/>
          <w:lang w:eastAsia="sk-SK"/>
        </w:rPr>
      </w:pPr>
      <w:r w:rsidRPr="00ED59EC">
        <w:rPr>
          <w:rFonts w:ascii="Arial" w:eastAsia="Times New Roman" w:hAnsi="Arial" w:cs="Arial"/>
          <w:b/>
          <w:bCs/>
          <w:color w:val="070707"/>
          <w:sz w:val="21"/>
          <w:szCs w:val="21"/>
          <w:lang w:eastAsia="sk-SK"/>
        </w:rPr>
        <w:t>Článok I</w:t>
      </w:r>
      <w:r w:rsidRPr="00ED59EC">
        <w:rPr>
          <w:rFonts w:ascii="Arial" w:eastAsia="Times New Roman" w:hAnsi="Arial" w:cs="Arial"/>
          <w:b/>
          <w:bCs/>
          <w:color w:val="070707"/>
          <w:sz w:val="21"/>
          <w:szCs w:val="21"/>
          <w:lang w:eastAsia="sk-SK"/>
        </w:rPr>
        <w:br/>
        <w:t>Všeobecné údaje</w:t>
      </w:r>
    </w:p>
    <w:p w:rsidR="00ED59EC" w:rsidRPr="00ED59EC" w:rsidRDefault="00ED59EC" w:rsidP="00ED59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Identifikácia účtovnej jednotky: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 xml:space="preserve">Názov: </w:t>
      </w:r>
      <w:r w:rsidR="00CD15A6">
        <w:rPr>
          <w:rFonts w:ascii="Arial" w:eastAsia="Times New Roman" w:hAnsi="Arial" w:cs="Arial"/>
          <w:color w:val="000000"/>
          <w:lang w:eastAsia="sk-SK"/>
        </w:rPr>
        <w:t xml:space="preserve">AMECONS, </w:t>
      </w:r>
      <w:proofErr w:type="spellStart"/>
      <w:r w:rsidR="00CD15A6">
        <w:rPr>
          <w:rFonts w:ascii="Arial" w:eastAsia="Times New Roman" w:hAnsi="Arial" w:cs="Arial"/>
          <w:color w:val="000000"/>
          <w:lang w:eastAsia="sk-SK"/>
        </w:rPr>
        <w:t>s.r.o</w:t>
      </w:r>
      <w:proofErr w:type="spellEnd"/>
      <w:r w:rsidR="00CD15A6">
        <w:rPr>
          <w:rFonts w:ascii="Arial" w:eastAsia="Times New Roman" w:hAnsi="Arial" w:cs="Arial"/>
          <w:color w:val="000000"/>
          <w:lang w:eastAsia="sk-SK"/>
        </w:rPr>
        <w:t xml:space="preserve">. </w:t>
      </w:r>
      <w:r w:rsidRPr="00ED59EC">
        <w:rPr>
          <w:rFonts w:ascii="Arial" w:eastAsia="Times New Roman" w:hAnsi="Arial" w:cs="Arial"/>
          <w:color w:val="000000"/>
          <w:lang w:eastAsia="sk-SK"/>
        </w:rPr>
        <w:t xml:space="preserve">Sídlo: </w:t>
      </w:r>
      <w:r w:rsidR="00CD15A6">
        <w:rPr>
          <w:rFonts w:ascii="Arial" w:eastAsia="Times New Roman" w:hAnsi="Arial" w:cs="Arial"/>
          <w:color w:val="000000"/>
          <w:lang w:eastAsia="sk-SK"/>
        </w:rPr>
        <w:t xml:space="preserve">Horný Smokovec 46, 062 01 Vysoké Tatry </w:t>
      </w:r>
    </w:p>
    <w:p w:rsidR="00ED59EC" w:rsidRPr="00ED59EC" w:rsidRDefault="00ED59EC" w:rsidP="00ED59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Údaje o konsolidovanom celku – spoločnosť nie je súčasťou žiadneho konsolidovaného celku.</w:t>
      </w:r>
    </w:p>
    <w:p w:rsidR="00ED59EC" w:rsidRPr="00ED59EC" w:rsidRDefault="00ED59EC" w:rsidP="00ED59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Priemerný prepočítaný počet zamestnancov:</w:t>
      </w:r>
    </w:p>
    <w:p w:rsidR="00ED59EC" w:rsidRPr="00ED59EC" w:rsidRDefault="00ED59EC" w:rsidP="00ED59E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 xml:space="preserve">bezprostredne predchádzajúce účtovné obdobie: </w:t>
      </w:r>
      <w:r w:rsidR="00CD15A6">
        <w:rPr>
          <w:rFonts w:ascii="Arial" w:eastAsia="Times New Roman" w:hAnsi="Arial" w:cs="Arial"/>
          <w:color w:val="000000"/>
          <w:lang w:eastAsia="sk-SK"/>
        </w:rPr>
        <w:t>1</w:t>
      </w:r>
    </w:p>
    <w:p w:rsidR="00ED59EC" w:rsidRPr="00ED59EC" w:rsidRDefault="00ED59EC" w:rsidP="00ED59E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 xml:space="preserve">bežné účtovné obdobie: </w:t>
      </w:r>
      <w:r w:rsidR="00CD15A6">
        <w:rPr>
          <w:rFonts w:ascii="Arial" w:eastAsia="Times New Roman" w:hAnsi="Arial" w:cs="Arial"/>
          <w:color w:val="000000"/>
          <w:lang w:eastAsia="sk-SK"/>
        </w:rPr>
        <w:t>1</w:t>
      </w:r>
    </w:p>
    <w:p w:rsidR="00ED59EC" w:rsidRPr="00ED59EC" w:rsidRDefault="00ED59EC" w:rsidP="00ED59EC">
      <w:pPr>
        <w:shd w:val="clear" w:color="auto" w:fill="FFFFFF"/>
        <w:spacing w:after="0" w:line="300" w:lineRule="atLeast"/>
        <w:jc w:val="center"/>
        <w:outlineLvl w:val="3"/>
        <w:rPr>
          <w:rFonts w:ascii="Arial" w:eastAsia="Times New Roman" w:hAnsi="Arial" w:cs="Arial"/>
          <w:b/>
          <w:bCs/>
          <w:color w:val="070707"/>
          <w:sz w:val="21"/>
          <w:szCs w:val="21"/>
          <w:lang w:eastAsia="sk-SK"/>
        </w:rPr>
      </w:pPr>
      <w:r w:rsidRPr="00ED59EC">
        <w:rPr>
          <w:rFonts w:ascii="Arial" w:eastAsia="Times New Roman" w:hAnsi="Arial" w:cs="Arial"/>
          <w:b/>
          <w:bCs/>
          <w:color w:val="070707"/>
          <w:sz w:val="21"/>
          <w:szCs w:val="21"/>
          <w:lang w:eastAsia="sk-SK"/>
        </w:rPr>
        <w:t>Článok II</w:t>
      </w:r>
      <w:r w:rsidRPr="00ED59EC">
        <w:rPr>
          <w:rFonts w:ascii="Arial" w:eastAsia="Times New Roman" w:hAnsi="Arial" w:cs="Arial"/>
          <w:b/>
          <w:bCs/>
          <w:color w:val="070707"/>
          <w:sz w:val="21"/>
          <w:szCs w:val="21"/>
          <w:lang w:eastAsia="sk-SK"/>
        </w:rPr>
        <w:br/>
        <w:t>Informácie o prijatých postupoch</w:t>
      </w:r>
    </w:p>
    <w:p w:rsidR="00ED59EC" w:rsidRPr="00ED59EC" w:rsidRDefault="00ED59EC" w:rsidP="00ED59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Účtovná závierka je zostavená za splnenia predpokladu nepretržitého pokračovania účtovnej jednotky v činnosti.</w:t>
      </w:r>
    </w:p>
    <w:p w:rsidR="00ED59EC" w:rsidRPr="00ED59EC" w:rsidRDefault="00ED59EC" w:rsidP="00ED59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Spôsob oceňovania jednotlivých položiek majetku a záväzkov:</w:t>
      </w:r>
    </w:p>
    <w:p w:rsidR="00ED59EC" w:rsidRPr="00ED59EC" w:rsidRDefault="00ED59EC" w:rsidP="00ED59E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Dlhodobý nehmotný majetok, dlhodobý hmotný majetok, dlhodobý finančný majetok: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>Dlhodobý nehmotný majetok sa oceňuje obstarávacou cenou a v účtovnej závierke je vykázaný v obstarávacej cene zníženej o oprávky.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>Dlhodobý hmotný majetok sa oceňuje obstarávacou cenou, ktorá zahŕňa aj náklady na obstaranie a v účtovnej závierke je vykázaný v obstarávacej cene zníženej o oprávky.</w:t>
      </w:r>
      <w:r w:rsidR="00CD15A6">
        <w:rPr>
          <w:rFonts w:ascii="Arial" w:eastAsia="Times New Roman" w:hAnsi="Arial" w:cs="Arial"/>
          <w:color w:val="000000"/>
          <w:lang w:eastAsia="sk-SK"/>
        </w:rPr>
        <w:t xml:space="preserve"> 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>Dlhodobý finančný majetok účtovná jednotka nevlastní.</w:t>
      </w:r>
    </w:p>
    <w:p w:rsidR="00ED59EC" w:rsidRPr="00ED59EC" w:rsidRDefault="00ED59EC" w:rsidP="00ED59E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Zásoby obstarané kúpou, zásoby vytvorené vlastnou činnosťou: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>Zásoby obstarané kúpou sa oceňujú obstarávacou cenou. Vyskladnenie zásob rovnakého druhu sa oceňuje cenou zistenou váženým aritmetickým priemerom z obstarávacích cien. V účtovnej závierke sú zásoby vykázané v obstarávacej cene zníženej o opravnú položku tvorenú ku dňu zostavenia účtovnej závierky vo výške rozdielu medzi účtovnou hodnotou ťažko predajného tovaru a predpokladanými príjmami z predaja tohto tovaru.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>Účtovná jednotka zásoby vlastnou činnosťou nevytvára.</w:t>
      </w:r>
    </w:p>
    <w:p w:rsidR="00ED59EC" w:rsidRPr="00ED59EC" w:rsidRDefault="00ED59EC" w:rsidP="00ED59E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Pohľadávky: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>Pohľadávky sa pri ich vzniku oceňujú menovitou hodnotou. V účtovnej závierke</w:t>
      </w:r>
      <w:r w:rsidR="00CD15A6">
        <w:rPr>
          <w:rFonts w:ascii="Arial" w:eastAsia="Times New Roman" w:hAnsi="Arial" w:cs="Arial"/>
          <w:color w:val="000000"/>
          <w:lang w:eastAsia="sk-SK"/>
        </w:rPr>
        <w:t xml:space="preserve"> nie </w:t>
      </w:r>
      <w:r w:rsidRPr="00ED59EC">
        <w:rPr>
          <w:rFonts w:ascii="Arial" w:eastAsia="Times New Roman" w:hAnsi="Arial" w:cs="Arial"/>
          <w:color w:val="000000"/>
          <w:lang w:eastAsia="sk-SK"/>
        </w:rPr>
        <w:t xml:space="preserve"> sú vykázané </w:t>
      </w:r>
      <w:r w:rsidR="00CD15A6">
        <w:rPr>
          <w:rFonts w:ascii="Arial" w:eastAsia="Times New Roman" w:hAnsi="Arial" w:cs="Arial"/>
          <w:color w:val="000000"/>
          <w:lang w:eastAsia="sk-SK"/>
        </w:rPr>
        <w:t>o</w:t>
      </w:r>
      <w:r w:rsidRPr="00ED59EC">
        <w:rPr>
          <w:rFonts w:ascii="Arial" w:eastAsia="Times New Roman" w:hAnsi="Arial" w:cs="Arial"/>
          <w:color w:val="000000"/>
          <w:lang w:eastAsia="sk-SK"/>
        </w:rPr>
        <w:t> hodnot</w:t>
      </w:r>
      <w:r w:rsidR="00CD15A6">
        <w:rPr>
          <w:rFonts w:ascii="Arial" w:eastAsia="Times New Roman" w:hAnsi="Arial" w:cs="Arial"/>
          <w:color w:val="000000"/>
          <w:lang w:eastAsia="sk-SK"/>
        </w:rPr>
        <w:t>u</w:t>
      </w:r>
      <w:r w:rsidRPr="00ED59EC">
        <w:rPr>
          <w:rFonts w:ascii="Arial" w:eastAsia="Times New Roman" w:hAnsi="Arial" w:cs="Arial"/>
          <w:color w:val="000000"/>
          <w:lang w:eastAsia="sk-SK"/>
        </w:rPr>
        <w:t xml:space="preserve"> zníženej o opravnú položku</w:t>
      </w:r>
      <w:r w:rsidR="00CD15A6">
        <w:rPr>
          <w:rFonts w:ascii="Arial" w:eastAsia="Times New Roman" w:hAnsi="Arial" w:cs="Arial"/>
          <w:color w:val="000000"/>
          <w:lang w:eastAsia="sk-SK"/>
        </w:rPr>
        <w:t xml:space="preserve">, nakoľko sa </w:t>
      </w:r>
      <w:r w:rsidRPr="00ED59EC">
        <w:rPr>
          <w:rFonts w:ascii="Arial" w:eastAsia="Times New Roman" w:hAnsi="Arial" w:cs="Arial"/>
          <w:color w:val="000000"/>
          <w:lang w:eastAsia="sk-SK"/>
        </w:rPr>
        <w:t xml:space="preserve"> </w:t>
      </w:r>
      <w:r w:rsidR="00CD15A6">
        <w:rPr>
          <w:rFonts w:ascii="Arial" w:eastAsia="Times New Roman" w:hAnsi="Arial" w:cs="Arial"/>
          <w:color w:val="000000"/>
          <w:lang w:eastAsia="sk-SK"/>
        </w:rPr>
        <w:t>ne</w:t>
      </w:r>
      <w:r w:rsidRPr="00ED59EC">
        <w:rPr>
          <w:rFonts w:ascii="Arial" w:eastAsia="Times New Roman" w:hAnsi="Arial" w:cs="Arial"/>
          <w:color w:val="000000"/>
          <w:lang w:eastAsia="sk-SK"/>
        </w:rPr>
        <w:t>tvor</w:t>
      </w:r>
      <w:r w:rsidR="00CD15A6">
        <w:rPr>
          <w:rFonts w:ascii="Arial" w:eastAsia="Times New Roman" w:hAnsi="Arial" w:cs="Arial"/>
          <w:color w:val="000000"/>
          <w:lang w:eastAsia="sk-SK"/>
        </w:rPr>
        <w:t xml:space="preserve">í </w:t>
      </w:r>
      <w:r w:rsidRPr="00ED59EC">
        <w:rPr>
          <w:rFonts w:ascii="Arial" w:eastAsia="Times New Roman" w:hAnsi="Arial" w:cs="Arial"/>
          <w:color w:val="000000"/>
          <w:lang w:eastAsia="sk-SK"/>
        </w:rPr>
        <w:t xml:space="preserve"> ku dňu zostavenia účtovnej závierky z dôvodu existencie reálneho predpokladu, že ich dlžník nezaplatí, vo výške rozdielu účtovnej hodnoty pohľadávky a predpokladaného zaplatenia pohľadávky.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>Účtovná jednotka pohľadávky nadobudnuté postúpením nemá.</w:t>
      </w:r>
    </w:p>
    <w:p w:rsidR="00ED59EC" w:rsidRPr="00ED59EC" w:rsidRDefault="00ED59EC" w:rsidP="00ED59E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lastRenderedPageBreak/>
        <w:t>Krátkodobý finančný majetok: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>Peňažné prostriedky sa oceňujú menovitou hodnotou.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>Iný krátkodobý finančný majetok účtovná jednotka nevlastní.</w:t>
      </w:r>
    </w:p>
    <w:p w:rsidR="00ED59EC" w:rsidRPr="00ED59EC" w:rsidRDefault="00ED59EC" w:rsidP="00ED59E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Záväzky vrátane rezerv, dlhopisov, pôžičiek a úverov: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>Záväzky sa pri ich vzniku oceňujú menovitou hodnotou. Prevzaté záväzky účtovná jednotka nemá.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>Účtovná jednotka tvorila ku dňu, ku ktorému sa zostavuje účtovná závierka, krátkodobé rezervy na nevyfakturované dodávky energií a na nevyčerpané dovolenky zamestnancov vrátane povinného poistného.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>Účtovná jednotka dlhopisy neemitovala.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>Účtovná jednotka má záväzok z bankového úveru ocenený menovitou hodnotou.</w:t>
      </w:r>
    </w:p>
    <w:p w:rsidR="00ED59EC" w:rsidRPr="00ED59EC" w:rsidRDefault="00ED59EC" w:rsidP="00ED59E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Derivátové operácie: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>Účtovná jednotka derivátové operácie nevykonávala.</w:t>
      </w:r>
    </w:p>
    <w:p w:rsidR="00ED59EC" w:rsidRPr="00ED59EC" w:rsidRDefault="00ED59EC" w:rsidP="00ED59EC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Spôsob zostavenia odpisového plánu pre jednotlivé druhy dlhodobého hmotného majetku a dlhodobého nehmotného majetku: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>Účtovná jednotka vlastní dlhodobý nehmotný majetok – softvér, ktorý je už odpísaný.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>Odpisy dlhodobého hmotného majetku sú stanovené na základe predpokladanej doby používania majetku. Majetok sa odpisuje od mesiaca zaradenia dlhodobého majetku do používania. Ročný odpis je vo výške násobku mesačného odpisu a počtu mesiacov využívania majetku. Neodpisuje sa pozemok.</w:t>
      </w:r>
    </w:p>
    <w:p w:rsidR="00ED59EC" w:rsidRPr="00ED59EC" w:rsidRDefault="00ED59EC" w:rsidP="00ED59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Zmeny účtovných zásad a zmeny účtovných metód: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>Účtovná jednotka neuskutočnila zmeny účtovných zásad a účtovných metód.</w:t>
      </w:r>
    </w:p>
    <w:p w:rsidR="00ED59EC" w:rsidRPr="00ED59EC" w:rsidRDefault="00ED59EC" w:rsidP="00ED59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Informácie o dotáciách a ich oceňovanie v účtovníctve: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>Účtovná jednotka nie je príjemcom dotácií.</w:t>
      </w:r>
    </w:p>
    <w:p w:rsidR="00ED59EC" w:rsidRPr="00ED59EC" w:rsidRDefault="00ED59EC" w:rsidP="00ED59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Informácie o účtovaní významných opráv chýb minulých účtovných období v bežnom účtovnom období a účtovanie nevýznamných chýb minulých účtovných období v bežnom účtovnom období: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>Účtovná jednotka neúčtovala o oprave chýb minulých účtovných období.</w:t>
      </w:r>
    </w:p>
    <w:p w:rsidR="00ED59EC" w:rsidRPr="00ED59EC" w:rsidRDefault="00ED59EC" w:rsidP="00ED59EC">
      <w:pPr>
        <w:shd w:val="clear" w:color="auto" w:fill="FFFFFF"/>
        <w:spacing w:after="0" w:line="300" w:lineRule="atLeast"/>
        <w:jc w:val="center"/>
        <w:outlineLvl w:val="3"/>
        <w:rPr>
          <w:rFonts w:ascii="Arial" w:eastAsia="Times New Roman" w:hAnsi="Arial" w:cs="Arial"/>
          <w:b/>
          <w:bCs/>
          <w:color w:val="070707"/>
          <w:sz w:val="21"/>
          <w:szCs w:val="21"/>
          <w:lang w:eastAsia="sk-SK"/>
        </w:rPr>
      </w:pPr>
      <w:r w:rsidRPr="00ED59EC">
        <w:rPr>
          <w:rFonts w:ascii="Arial" w:eastAsia="Times New Roman" w:hAnsi="Arial" w:cs="Arial"/>
          <w:b/>
          <w:bCs/>
          <w:color w:val="070707"/>
          <w:sz w:val="21"/>
          <w:szCs w:val="21"/>
          <w:lang w:eastAsia="sk-SK"/>
        </w:rPr>
        <w:t>Článok III</w:t>
      </w:r>
      <w:r w:rsidRPr="00ED59EC">
        <w:rPr>
          <w:rFonts w:ascii="Arial" w:eastAsia="Times New Roman" w:hAnsi="Arial" w:cs="Arial"/>
          <w:b/>
          <w:bCs/>
          <w:color w:val="070707"/>
          <w:sz w:val="21"/>
          <w:szCs w:val="21"/>
          <w:lang w:eastAsia="sk-SK"/>
        </w:rPr>
        <w:br/>
        <w:t>Informácie, ktoré vysvetľujú a dopĺňajú súvahu a výkaz ziskov a strát</w:t>
      </w:r>
    </w:p>
    <w:p w:rsidR="00ED59EC" w:rsidRPr="00ED59EC" w:rsidRDefault="00ED59EC" w:rsidP="00ED59E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Informácia o sume a dôvodoch vzniku jednotlivých položiek nákladov alebo výnosov, ktoré majú výnimočný rozsah alebo výskyt: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>Účtovnej jednotke nevznikli náklady a výnosy s výnimočným rozsahom alebo výskytom.</w:t>
      </w:r>
    </w:p>
    <w:p w:rsidR="00ED59EC" w:rsidRPr="00ED59EC" w:rsidRDefault="00ED59EC" w:rsidP="00ED59E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Informácie o záväzkoch:</w:t>
      </w:r>
    </w:p>
    <w:p w:rsidR="00ED59EC" w:rsidRPr="00ED59EC" w:rsidRDefault="00ED59EC" w:rsidP="00ED59EC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záväzky so zostatkovou dobou splatnosti dlhšou ako päť rokov: účtovná jednotka nemá,</w:t>
      </w:r>
    </w:p>
    <w:p w:rsidR="00ED59EC" w:rsidRPr="00ED59EC" w:rsidRDefault="00ED59EC" w:rsidP="00ED59EC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zabezpečené záväzky: účtovná jednotka nemá.</w:t>
      </w:r>
    </w:p>
    <w:p w:rsidR="00ED59EC" w:rsidRPr="00ED59EC" w:rsidRDefault="00ED59EC" w:rsidP="00ED59E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Informácie o vlastných akciách: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>Účtovná jednotka nemá formu akciovej spoločnosti, vlastné akcie nenadobudla.</w:t>
      </w:r>
    </w:p>
    <w:p w:rsidR="00ED59EC" w:rsidRPr="00ED59EC" w:rsidRDefault="00ED59EC" w:rsidP="00ED59E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Tvorba kapitálového fondu z príspevkov: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>Účtovná jednotka kapitálový fond z príspevkov netvorila.</w:t>
      </w:r>
    </w:p>
    <w:p w:rsidR="00ED59EC" w:rsidRPr="00ED59EC" w:rsidRDefault="00ED59EC" w:rsidP="00ED59E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Informácie o orgánoch účtovnej jednotky:</w:t>
      </w:r>
    </w:p>
    <w:p w:rsidR="00ED59EC" w:rsidRPr="00ED59EC" w:rsidRDefault="00ED59EC" w:rsidP="00ED59EC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výška jednotlivých druhov záruk alebo iných zabezpečení poskytnutých pre členov štatutárneho orgánu, dozorného orgánu a iného orgánu účtovnej jednotky: účtovná jednotka záruky a iné zabezpečenie neeviduje,</w:t>
      </w:r>
    </w:p>
    <w:p w:rsidR="00ED59EC" w:rsidRPr="00ED59EC" w:rsidRDefault="00ED59EC" w:rsidP="00ED59EC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pôžičky poskytnuté členom štatutárneho orgánu, dozorného orgánu a iného orgánu účtovnej jednotky: účtovná jednotka pôžičky neeviduje,</w:t>
      </w:r>
    </w:p>
    <w:p w:rsidR="00ED59EC" w:rsidRPr="00ED59EC" w:rsidRDefault="00ED59EC" w:rsidP="00ED59EC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hlavné podmienky, na základe ktorých boli záruky, iné zabezpečenia a pôžičky poskytnuté: neboli poskytnuté,</w:t>
      </w:r>
    </w:p>
    <w:p w:rsidR="00ED59EC" w:rsidRPr="00ED59EC" w:rsidRDefault="00ED59EC" w:rsidP="00ED59EC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lastRenderedPageBreak/>
        <w:t>celková suma použitých finančných prostriedkov alebo iného plnenia na súkromné účely členmi štatutárneho orgánu, dozorného orgánu a iného orgánu účtovnej jednotky, ktoré je potrebné vyúčtovať: účtovná jednotka na takýto účel finančné prostriedky nepoužila.</w:t>
      </w:r>
    </w:p>
    <w:p w:rsidR="00ED59EC" w:rsidRPr="00ED59EC" w:rsidRDefault="00ED59EC" w:rsidP="00ED59E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Informácie o povinnostiach účtovnej jednotky:</w:t>
      </w:r>
    </w:p>
    <w:p w:rsidR="00ED59EC" w:rsidRPr="00ED59EC" w:rsidRDefault="00ED59EC" w:rsidP="00ED59EC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celková suma finančných povinností, ktoré sa nevykazujú v súvahe, ale sú významné na posúdenie finančnej situácie účtovnej jednotky: účtovná jednotka takúto povinnosť nemá,</w:t>
      </w:r>
    </w:p>
    <w:p w:rsidR="00ED59EC" w:rsidRPr="00ED59EC" w:rsidRDefault="00ED59EC" w:rsidP="00ED59EC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celková suma významných podmienených záväzkov: účtovná jednotka takúto povinnosť nemá,</w:t>
      </w:r>
    </w:p>
    <w:p w:rsidR="00ED59EC" w:rsidRPr="00ED59EC" w:rsidRDefault="00ED59EC" w:rsidP="00ED59EC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opis významných finančných povinností a významných podmienených záväzkov: účtovná jednotka finančné povinnosti a podmienené záväzky nemá,</w:t>
      </w:r>
    </w:p>
    <w:p w:rsidR="00ED59EC" w:rsidRPr="00ED59EC" w:rsidRDefault="00ED59EC" w:rsidP="00ED59EC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celková suma významných finančných povinností a významných podmienených záväzkoch voči dcérskej účtovnej jednotke a účtovnej jednotke s podstatným vplyvom: účtovná jednotka takého záväzky nemá,</w:t>
      </w:r>
    </w:p>
    <w:p w:rsidR="00ED59EC" w:rsidRPr="00ED59EC" w:rsidRDefault="00ED59EC" w:rsidP="00ED59EC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opis významných povinností účtovnej jednotky vyplývajúcich z dôchodkových programov pre zamestnancov: účtovná jednotka takého povinnosti nemá.</w:t>
      </w:r>
    </w:p>
    <w:p w:rsidR="00ED59EC" w:rsidRPr="00ED59EC" w:rsidRDefault="00ED59EC" w:rsidP="00ED59E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k-SK"/>
        </w:rPr>
      </w:pPr>
      <w:r w:rsidRPr="00ED59EC">
        <w:rPr>
          <w:rFonts w:ascii="Arial" w:eastAsia="Times New Roman" w:hAnsi="Arial" w:cs="Arial"/>
          <w:color w:val="000000"/>
          <w:lang w:eastAsia="sk-SK"/>
        </w:rPr>
        <w:t>Informácie o udelení výlučného práva alebo osobitného práva, ktorým sa udelilo právo poskytovať služby vo verejnom záujme:</w:t>
      </w:r>
      <w:r w:rsidRPr="00ED59EC">
        <w:rPr>
          <w:rFonts w:ascii="Arial" w:eastAsia="Times New Roman" w:hAnsi="Arial" w:cs="Arial"/>
          <w:color w:val="000000"/>
          <w:lang w:eastAsia="sk-SK"/>
        </w:rPr>
        <w:br/>
        <w:t>Účtovná jednotka takého práva udelené nemá.</w:t>
      </w:r>
    </w:p>
    <w:p w:rsidR="00A0042E" w:rsidRDefault="00A0042E">
      <w:bookmarkStart w:id="0" w:name="_GoBack"/>
      <w:bookmarkEnd w:id="0"/>
    </w:p>
    <w:sectPr w:rsidR="00A00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7D33"/>
    <w:multiLevelType w:val="multilevel"/>
    <w:tmpl w:val="DEEE0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5B181F"/>
    <w:multiLevelType w:val="multilevel"/>
    <w:tmpl w:val="2368D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482D61"/>
    <w:multiLevelType w:val="multilevel"/>
    <w:tmpl w:val="52921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104C27"/>
    <w:multiLevelType w:val="multilevel"/>
    <w:tmpl w:val="8AA67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EC"/>
    <w:rsid w:val="00795A66"/>
    <w:rsid w:val="00A0042E"/>
    <w:rsid w:val="00CD15A6"/>
    <w:rsid w:val="00ED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B5CEF"/>
  <w15:chartTrackingRefBased/>
  <w15:docId w15:val="{DA314525-6453-4689-9998-30B8987C1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ED59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ED59E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D59EC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ED59E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ED5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label">
    <w:name w:val="label"/>
    <w:basedOn w:val="Predvolenpsmoodseku"/>
    <w:rsid w:val="00ED59EC"/>
  </w:style>
  <w:style w:type="character" w:styleId="Hypertextovprepojenie">
    <w:name w:val="Hyperlink"/>
    <w:basedOn w:val="Predvolenpsmoodseku"/>
    <w:uiPriority w:val="99"/>
    <w:semiHidden/>
    <w:unhideWhenUsed/>
    <w:rsid w:val="00ED59EC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ED59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6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5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  <w:divsChild>
                    <w:div w:id="84567814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7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56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8" w:color="EEEEEE"/>
                    <w:right w:val="none" w:sz="0" w:space="0" w:color="auto"/>
                  </w:divBdr>
                  <w:divsChild>
                    <w:div w:id="208313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89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48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8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anovecentrum.sk/form/goto.ashx?t=27&amp;p=4040954&amp;f=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FC26B-EA57-4A09-8B56-976DABF57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kodusova.jana</dc:creator>
  <cp:keywords/>
  <dc:description/>
  <cp:lastModifiedBy>kodusova.jana</cp:lastModifiedBy>
  <cp:revision>2</cp:revision>
  <dcterms:created xsi:type="dcterms:W3CDTF">2024-03-12T08:55:00Z</dcterms:created>
  <dcterms:modified xsi:type="dcterms:W3CDTF">2024-03-12T08:55:00Z</dcterms:modified>
</cp:coreProperties>
</file>