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D3A5E" w:rsidRDefault="00912AA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ÚČTOVNEJ ZÁVIERKE 2023</w:t>
      </w:r>
    </w:p>
    <w:p w:rsidR="00BD3A5E" w:rsidRDefault="00912AA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BD3A5E" w:rsidRDefault="00912AA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 xml:space="preserve">pre malé účtovné </w:t>
      </w:r>
      <w:r>
        <w:rPr>
          <w:rFonts w:ascii="Arial Narrow" w:hAnsi="Arial Narrow"/>
          <w:b/>
          <w:sz w:val="22"/>
          <w:szCs w:val="22"/>
        </w:rPr>
        <w:t>jednotky</w:t>
      </w:r>
      <w:r>
        <w:rPr>
          <w:rFonts w:ascii="Arial Narrow" w:hAnsi="Arial Narrow"/>
          <w:sz w:val="22"/>
          <w:szCs w:val="22"/>
        </w:rPr>
        <w:t xml:space="preserve"> </w:t>
      </w:r>
    </w:p>
    <w:p w:rsidR="00BD3A5E" w:rsidRDefault="00BD3A5E">
      <w:pPr>
        <w:rPr>
          <w:rFonts w:ascii="Arial Narrow" w:hAnsi="Arial Narrow"/>
          <w:sz w:val="22"/>
          <w:szCs w:val="22"/>
        </w:rPr>
      </w:pPr>
    </w:p>
    <w:p w:rsidR="00BD3A5E" w:rsidRDefault="00912AA4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BD3A5E" w:rsidRDefault="00BD3A5E">
      <w:pPr>
        <w:rPr>
          <w:rFonts w:ascii="Arial Narrow" w:hAnsi="Arial Narrow"/>
          <w:sz w:val="22"/>
          <w:szCs w:val="22"/>
        </w:rPr>
      </w:pPr>
    </w:p>
    <w:p w:rsidR="00BD3A5E" w:rsidRDefault="00912AA4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:rsidR="00BD3A5E" w:rsidRDefault="00BD3A5E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4A0" w:firstRow="1" w:lastRow="0" w:firstColumn="1" w:lastColumn="0" w:noHBand="0" w:noVBand="1"/>
      </w:tblPr>
      <w:tblGrid>
        <w:gridCol w:w="2574"/>
        <w:gridCol w:w="6808"/>
      </w:tblGrid>
      <w:tr w:rsidR="00BD3A5E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3A5E" w:rsidRDefault="00912AA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3A5E" w:rsidRDefault="00912AA4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KORÁLKY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BD3A5E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3A5E" w:rsidRDefault="00912AA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3A5E" w:rsidRDefault="00912AA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Bzovícka 6</w:t>
            </w:r>
            <w:r>
              <w:rPr>
                <w:rFonts w:ascii="Arial Narrow" w:hAnsi="Arial Narrow" w:cs="Arial Narrow"/>
                <w:sz w:val="22"/>
                <w:szCs w:val="22"/>
              </w:rPr>
              <w:t>, 8</w:t>
            </w:r>
            <w:r>
              <w:rPr>
                <w:rFonts w:ascii="Arial Narrow" w:hAnsi="Arial Narrow" w:cs="Arial Narrow"/>
                <w:sz w:val="22"/>
                <w:szCs w:val="22"/>
              </w:rPr>
              <w:t>51 07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 Bratislava</w:t>
            </w:r>
          </w:p>
        </w:tc>
      </w:tr>
      <w:tr w:rsidR="00BD3A5E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3A5E" w:rsidRDefault="00912AA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3A5E" w:rsidRDefault="00912AA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BD3A5E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D3A5E" w:rsidRDefault="00912AA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BD3A5E" w:rsidRDefault="00912AA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>
              <w:rPr>
                <w:rFonts w:ascii="Arial Narrow" w:hAnsi="Arial Narrow" w:cs="Arial Narrow"/>
                <w:sz w:val="22"/>
                <w:szCs w:val="22"/>
              </w:rPr>
              <w:t>14.10.2005</w:t>
            </w:r>
          </w:p>
        </w:tc>
      </w:tr>
      <w:tr w:rsidR="00BD3A5E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D3A5E" w:rsidRDefault="00912AA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BD3A5E" w:rsidRDefault="00912AA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</w:rPr>
              <w:t>Predškolská výchova</w:t>
            </w:r>
          </w:p>
        </w:tc>
      </w:tr>
      <w:tr w:rsidR="00BD3A5E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D3A5E" w:rsidRDefault="00912AA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BD3A5E" w:rsidRDefault="00912AA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nie je subjektom verejného záujmu (§ 2/14 ZoU).</w:t>
            </w:r>
          </w:p>
        </w:tc>
      </w:tr>
      <w:tr w:rsidR="00BD3A5E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D3A5E" w:rsidRDefault="00912AA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D3A5E" w:rsidRDefault="00912AA4" w:rsidP="00912AA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2023</w:t>
            </w:r>
          </w:p>
        </w:tc>
      </w:tr>
    </w:tbl>
    <w:p w:rsidR="00BD3A5E" w:rsidRDefault="00BD3A5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D3A5E" w:rsidRDefault="00912AA4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BD3A5E" w:rsidRDefault="00912AA4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</w:t>
      </w:r>
      <w:r>
        <w:rPr>
          <w:rFonts w:ascii="Arial Narrow" w:hAnsi="Arial Narrow" w:cs="Arial Narrow"/>
          <w:bCs/>
          <w:sz w:val="22"/>
          <w:szCs w:val="22"/>
        </w:rPr>
        <w:t xml:space="preserve">ol 8 000 000 eur a priemerný prepočítaný počet zamestnancov počas účtovného obdobia presiahol 10, ale nepresiahol 50).  </w:t>
      </w:r>
    </w:p>
    <w:p w:rsidR="00BD3A5E" w:rsidRDefault="00BD3A5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BD3A5E">
        <w:tc>
          <w:tcPr>
            <w:tcW w:w="2197" w:type="dxa"/>
            <w:shd w:val="clear" w:color="auto" w:fill="auto"/>
          </w:tcPr>
          <w:p w:rsidR="00BD3A5E" w:rsidRDefault="00912A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shd w:val="clear" w:color="auto" w:fill="auto"/>
          </w:tcPr>
          <w:p w:rsidR="00BD3A5E" w:rsidRDefault="00912A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BD3A5E" w:rsidRDefault="00912A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BD3A5E" w:rsidRDefault="00912A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912AA4">
        <w:tc>
          <w:tcPr>
            <w:tcW w:w="2197" w:type="dxa"/>
            <w:shd w:val="clear" w:color="auto" w:fill="auto"/>
          </w:tcPr>
          <w:p w:rsidR="00912AA4" w:rsidRDefault="00912AA4" w:rsidP="00912AA4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912AA4" w:rsidRDefault="00912AA4" w:rsidP="00912A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9 496</w:t>
            </w:r>
          </w:p>
        </w:tc>
        <w:tc>
          <w:tcPr>
            <w:tcW w:w="3260" w:type="dxa"/>
            <w:shd w:val="clear" w:color="auto" w:fill="auto"/>
          </w:tcPr>
          <w:p w:rsidR="00912AA4" w:rsidRDefault="00912AA4" w:rsidP="00912A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9 600</w:t>
            </w:r>
          </w:p>
        </w:tc>
        <w:tc>
          <w:tcPr>
            <w:tcW w:w="1276" w:type="dxa"/>
            <w:shd w:val="clear" w:color="auto" w:fill="auto"/>
          </w:tcPr>
          <w:p w:rsidR="00912AA4" w:rsidRDefault="00912AA4" w:rsidP="00912A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912AA4">
        <w:tc>
          <w:tcPr>
            <w:tcW w:w="2197" w:type="dxa"/>
            <w:shd w:val="clear" w:color="auto" w:fill="auto"/>
          </w:tcPr>
          <w:p w:rsidR="00912AA4" w:rsidRDefault="00912AA4" w:rsidP="00912AA4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912AA4" w:rsidRDefault="00912AA4" w:rsidP="00912A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912AA4" w:rsidRDefault="00912AA4" w:rsidP="00912A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3 900</w:t>
            </w:r>
          </w:p>
        </w:tc>
        <w:tc>
          <w:tcPr>
            <w:tcW w:w="1276" w:type="dxa"/>
            <w:shd w:val="clear" w:color="auto" w:fill="auto"/>
          </w:tcPr>
          <w:p w:rsidR="00912AA4" w:rsidRDefault="00912AA4" w:rsidP="00912A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912AA4" w:rsidTr="00912AA4">
        <w:trPr>
          <w:trHeight w:val="70"/>
        </w:trPr>
        <w:tc>
          <w:tcPr>
            <w:tcW w:w="2197" w:type="dxa"/>
            <w:shd w:val="clear" w:color="auto" w:fill="auto"/>
          </w:tcPr>
          <w:p w:rsidR="00912AA4" w:rsidRDefault="00912AA4" w:rsidP="00912AA4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912AA4" w:rsidRDefault="00912AA4" w:rsidP="00912A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:rsidR="00912AA4" w:rsidRDefault="00912AA4" w:rsidP="00912A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912AA4" w:rsidRDefault="00912AA4" w:rsidP="00912A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BD3A5E" w:rsidRDefault="00BD3A5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D3A5E" w:rsidRDefault="00912AA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mikro účtovná jednotka, </w:t>
      </w:r>
      <w:r>
        <w:rPr>
          <w:rFonts w:ascii="Arial Narrow" w:hAnsi="Arial Narrow" w:cs="Arial Narrow"/>
          <w:sz w:val="22"/>
          <w:szCs w:val="22"/>
        </w:rPr>
        <w:t xml:space="preserve">pričom sa UJ v zmysle § 2 ods. 12 zákona č. 431/2002 Z. z. o účtovníctve rozhodla, že bude postupovať ako </w:t>
      </w:r>
      <w:r>
        <w:rPr>
          <w:rFonts w:ascii="Arial Narrow" w:hAnsi="Arial Narrow" w:cs="Arial Narrow"/>
          <w:b/>
          <w:sz w:val="22"/>
          <w:szCs w:val="22"/>
        </w:rPr>
        <w:t>malá účtovná jednotka</w:t>
      </w:r>
      <w:r>
        <w:rPr>
          <w:rFonts w:ascii="Arial Narrow" w:hAnsi="Arial Narrow" w:cs="Arial Narrow"/>
          <w:sz w:val="22"/>
          <w:szCs w:val="22"/>
        </w:rPr>
        <w:t xml:space="preserve"> a zostavuje účtovnú závierku podľa metodiky pre túto veľkostnú skupinu (</w:t>
      </w:r>
      <w:r>
        <w:rPr>
          <w:rFonts w:ascii="Arial Narrow" w:hAnsi="Arial Narrow"/>
          <w:sz w:val="22"/>
          <w:szCs w:val="22"/>
        </w:rPr>
        <w:t>Opatrenie č.MF/23378/2014-74)</w:t>
      </w:r>
      <w:r>
        <w:rPr>
          <w:rFonts w:ascii="Arial Narrow" w:hAnsi="Arial Narrow" w:cs="Arial Narrow"/>
          <w:sz w:val="22"/>
          <w:szCs w:val="22"/>
        </w:rPr>
        <w:t>.</w:t>
      </w:r>
    </w:p>
    <w:p w:rsidR="00BD3A5E" w:rsidRDefault="00BD3A5E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BD3A5E" w:rsidRDefault="00912AA4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 xml:space="preserve">Dátum schválenia </w:t>
      </w:r>
      <w:r>
        <w:rPr>
          <w:rFonts w:ascii="Arial Narrow" w:hAnsi="Arial Narrow" w:cs="Arial Narrow"/>
          <w:b/>
          <w:sz w:val="22"/>
          <w:szCs w:val="22"/>
        </w:rPr>
        <w:t>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 09</w:t>
      </w:r>
      <w:bookmarkStart w:id="0" w:name="_GoBack"/>
      <w:bookmarkEnd w:id="0"/>
      <w:r>
        <w:rPr>
          <w:rFonts w:ascii="Arial Narrow" w:hAnsi="Arial Narrow" w:cs="Arial Narrow"/>
          <w:sz w:val="22"/>
          <w:szCs w:val="22"/>
        </w:rPr>
        <w:t>.</w:t>
      </w:r>
      <w:r>
        <w:rPr>
          <w:rFonts w:ascii="Arial Narrow" w:hAnsi="Arial Narrow" w:cs="Arial Narrow"/>
          <w:sz w:val="22"/>
          <w:szCs w:val="22"/>
        </w:rPr>
        <w:t>03</w:t>
      </w:r>
      <w:r>
        <w:rPr>
          <w:rFonts w:ascii="Arial Narrow" w:hAnsi="Arial Narrow" w:cs="Arial Narrow"/>
          <w:sz w:val="22"/>
          <w:szCs w:val="22"/>
        </w:rPr>
        <w:t>.2023</w:t>
      </w:r>
    </w:p>
    <w:p w:rsidR="00BD3A5E" w:rsidRDefault="00912AA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D3A5E" w:rsidRDefault="00912AA4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</w:t>
      </w:r>
      <w:r>
        <w:rPr>
          <w:rFonts w:ascii="Arial Narrow" w:hAnsi="Arial Narrow" w:cs="Arial Narrow"/>
          <w:b/>
          <w:sz w:val="22"/>
          <w:szCs w:val="22"/>
        </w:rPr>
        <w:t>riadna</w:t>
      </w:r>
    </w:p>
    <w:p w:rsidR="00BD3A5E" w:rsidRDefault="00BD3A5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D3A5E" w:rsidRDefault="00912AA4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 spoločnosť ne</w:t>
      </w:r>
      <w:r>
        <w:rPr>
          <w:rFonts w:ascii="Arial Narrow" w:hAnsi="Arial Narrow" w:cs="Arial Narrow"/>
          <w:bCs/>
          <w:sz w:val="22"/>
          <w:szCs w:val="22"/>
        </w:rPr>
        <w:t>má obsahovú náplň.</w:t>
      </w:r>
    </w:p>
    <w:p w:rsidR="00BD3A5E" w:rsidRDefault="00BD3A5E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BD3A5E" w:rsidRDefault="00912AA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najväčšiu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 konsolidácie):</w:t>
      </w:r>
    </w:p>
    <w:p w:rsidR="00BD3A5E" w:rsidRDefault="00BD3A5E">
      <w:pPr>
        <w:jc w:val="both"/>
        <w:rPr>
          <w:rFonts w:ascii="Arial Narrow" w:hAnsi="Arial Narrow" w:cs="Arial Narrow"/>
          <w:sz w:val="22"/>
          <w:szCs w:val="22"/>
        </w:rPr>
      </w:pPr>
    </w:p>
    <w:p w:rsidR="00BD3A5E" w:rsidRDefault="00912AA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Obchodné meno a 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najmenšiu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(bezprostredne vyšší stupeň konsolidácie), a ktorá je tiež začlenená do skupin</w:t>
      </w:r>
      <w:r>
        <w:rPr>
          <w:rFonts w:ascii="Arial Narrow" w:hAnsi="Arial Narrow" w:cs="Arial Narrow"/>
          <w:sz w:val="22"/>
          <w:szCs w:val="22"/>
        </w:rPr>
        <w:t>y účtovných jednotiek na najvyššom stupni konsolidácie:</w:t>
      </w:r>
    </w:p>
    <w:p w:rsidR="00BD3A5E" w:rsidRDefault="00BD3A5E">
      <w:pPr>
        <w:jc w:val="both"/>
        <w:rPr>
          <w:rFonts w:ascii="Arial Narrow" w:hAnsi="Arial Narrow" w:cs="Arial Narrow"/>
          <w:sz w:val="22"/>
          <w:szCs w:val="22"/>
        </w:rPr>
      </w:pPr>
    </w:p>
    <w:p w:rsidR="00BD3A5E" w:rsidRDefault="00912AA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Adresa, kde sa môže vyžiadať kópia vyššie uvedených </w:t>
      </w:r>
      <w:r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>
        <w:rPr>
          <w:rFonts w:ascii="Arial Narrow" w:hAnsi="Arial Narrow" w:cs="Arial Narrow"/>
          <w:sz w:val="22"/>
          <w:szCs w:val="22"/>
        </w:rPr>
        <w:t>:</w:t>
      </w:r>
    </w:p>
    <w:p w:rsidR="00BD3A5E" w:rsidRDefault="00BD3A5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D3A5E" w:rsidRDefault="00912AA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Údaj, či účtovná jednotka je materskou účtovnou jednotkou a údaj, či je oslobodená od povinnosti zostavi</w:t>
      </w:r>
      <w:r>
        <w:rPr>
          <w:rFonts w:ascii="Arial Narrow" w:hAnsi="Arial Narrow" w:cs="Arial Narrow"/>
          <w:sz w:val="22"/>
          <w:szCs w:val="22"/>
        </w:rPr>
        <w:t xml:space="preserve">ť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a konsolidovanú výročnú správu podľa § 22 zákona o účtovníctve, pričom sa uvádzajú:</w:t>
      </w:r>
    </w:p>
    <w:p w:rsidR="00BD3A5E" w:rsidRDefault="00912AA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1. pri oslobodení podľa § 22 ods. 8 zákona o účtovníctve obchodné meno a sídlo materskej účtovnej jednotky zostavujúcej </w:t>
      </w:r>
      <w:r>
        <w:rPr>
          <w:rFonts w:ascii="Arial Narrow" w:hAnsi="Arial Narrow" w:cs="Arial Narrow"/>
          <w:b/>
          <w:sz w:val="22"/>
          <w:szCs w:val="22"/>
        </w:rPr>
        <w:t>konsolidovanú účtov</w:t>
      </w:r>
      <w:r>
        <w:rPr>
          <w:rFonts w:ascii="Arial Narrow" w:hAnsi="Arial Narrow" w:cs="Arial Narrow"/>
          <w:b/>
          <w:sz w:val="22"/>
          <w:szCs w:val="22"/>
        </w:rPr>
        <w:t>nú závierku</w:t>
      </w:r>
      <w:r>
        <w:rPr>
          <w:rFonts w:ascii="Arial Narrow" w:hAnsi="Arial Narrow" w:cs="Arial Narrow"/>
          <w:sz w:val="22"/>
          <w:szCs w:val="22"/>
        </w:rPr>
        <w:t xml:space="preserve"> podľa osobitných predpisov (IFRS/EÚ):</w:t>
      </w:r>
    </w:p>
    <w:p w:rsidR="00BD3A5E" w:rsidRDefault="00BD3A5E">
      <w:pPr>
        <w:jc w:val="both"/>
        <w:rPr>
          <w:rFonts w:ascii="Arial Narrow" w:hAnsi="Arial Narrow" w:cs="Arial Narrow"/>
          <w:sz w:val="22"/>
          <w:szCs w:val="22"/>
        </w:rPr>
      </w:pPr>
    </w:p>
    <w:p w:rsidR="00BD3A5E" w:rsidRDefault="00912AA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2. pri oslobodení podľa § 22 ods. 10 a 12 zákona o účtovníctve obchodné meno a sídlo dcérskych účtovných jednotiek:  </w:t>
      </w:r>
    </w:p>
    <w:p w:rsidR="00BD3A5E" w:rsidRDefault="00BD3A5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D3A5E" w:rsidRDefault="00912AA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745"/>
        <w:gridCol w:w="2464"/>
        <w:gridCol w:w="2311"/>
      </w:tblGrid>
      <w:tr w:rsidR="00BD3A5E">
        <w:trPr>
          <w:trHeight w:val="537"/>
        </w:trPr>
        <w:tc>
          <w:tcPr>
            <w:tcW w:w="2492" w:type="pct"/>
            <w:vAlign w:val="center"/>
          </w:tcPr>
          <w:p w:rsidR="00BD3A5E" w:rsidRDefault="00912AA4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BD3A5E" w:rsidRDefault="00912A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Bežné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účtovné obdobie</w:t>
            </w:r>
          </w:p>
        </w:tc>
        <w:tc>
          <w:tcPr>
            <w:tcW w:w="1214" w:type="pct"/>
            <w:vAlign w:val="center"/>
          </w:tcPr>
          <w:p w:rsidR="00BD3A5E" w:rsidRDefault="00912A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D3A5E">
        <w:trPr>
          <w:trHeight w:val="163"/>
        </w:trPr>
        <w:tc>
          <w:tcPr>
            <w:tcW w:w="2492" w:type="pct"/>
            <w:vAlign w:val="bottom"/>
          </w:tcPr>
          <w:p w:rsidR="00BD3A5E" w:rsidRDefault="00912AA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:rsidR="00BD3A5E" w:rsidRDefault="00BD3A5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14" w:type="pct"/>
            <w:vAlign w:val="bottom"/>
          </w:tcPr>
          <w:p w:rsidR="00BD3A5E" w:rsidRDefault="00BD3A5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D3A5E" w:rsidRDefault="00BD3A5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BD3A5E" w:rsidRDefault="00BD3A5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D3A5E" w:rsidRDefault="00912AA4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BD3A5E" w:rsidRDefault="00BD3A5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D3A5E" w:rsidRDefault="00912AA4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</w:t>
      </w:r>
      <w:r>
        <w:rPr>
          <w:rFonts w:ascii="Arial Narrow" w:hAnsi="Arial Narrow" w:cs="Arial Narrow"/>
          <w:bCs/>
          <w:sz w:val="22"/>
          <w:szCs w:val="22"/>
        </w:rPr>
        <w:t>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BD3A5E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:rsidR="00BD3A5E" w:rsidRDefault="00912AA4">
            <w:pPr>
              <w:pStyle w:val="TopHeader"/>
            </w:pPr>
            <w:r>
              <w:t>Orgány účtovne</w:t>
            </w:r>
            <w:r>
              <w:t>j jednotky</w:t>
            </w:r>
          </w:p>
        </w:tc>
        <w:tc>
          <w:tcPr>
            <w:tcW w:w="1701" w:type="dxa"/>
            <w:noWrap/>
            <w:vAlign w:val="center"/>
          </w:tcPr>
          <w:p w:rsidR="00BD3A5E" w:rsidRDefault="00912AA4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vAlign w:val="center"/>
          </w:tcPr>
          <w:p w:rsidR="00BD3A5E" w:rsidRDefault="00912AA4">
            <w:pPr>
              <w:pStyle w:val="TopHeader"/>
            </w:pPr>
            <w:r>
              <w:t>Bezprostredne predchádzajúce účtovné obdobie</w:t>
            </w:r>
          </w:p>
        </w:tc>
      </w:tr>
      <w:tr w:rsidR="00BD3A5E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BD3A5E" w:rsidRDefault="00912AA4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</w:tcPr>
          <w:p w:rsidR="00BD3A5E" w:rsidRDefault="00912AA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BD3A5E" w:rsidRDefault="00912AA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D3A5E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:rsidR="00BD3A5E" w:rsidRDefault="00912AA4">
            <w:pPr>
              <w:numPr>
                <w:ilvl w:val="0"/>
                <w:numId w:val="2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BD3A5E" w:rsidRDefault="00912AA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BD3A5E" w:rsidRDefault="00912AA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BD3A5E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BD3A5E" w:rsidRDefault="00912AA4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</w:tcPr>
          <w:p w:rsidR="00BD3A5E" w:rsidRDefault="00BD3A5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BD3A5E" w:rsidRDefault="00BD3A5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D3A5E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BD3A5E" w:rsidRDefault="00912AA4">
            <w:pPr>
              <w:numPr>
                <w:ilvl w:val="0"/>
                <w:numId w:val="2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BD3A5E" w:rsidRDefault="00912AA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BD3A5E" w:rsidRDefault="00912AA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BD3A5E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BD3A5E" w:rsidRDefault="00912AA4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BD3A5E" w:rsidRDefault="00BD3A5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BD3A5E" w:rsidRDefault="00BD3A5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D3A5E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BD3A5E" w:rsidRDefault="00912AA4">
            <w:pPr>
              <w:numPr>
                <w:ilvl w:val="0"/>
                <w:numId w:val="2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BD3A5E" w:rsidRDefault="00912AA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BD3A5E" w:rsidRDefault="00912AA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:rsidR="00BD3A5E" w:rsidRDefault="00BD3A5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D3A5E" w:rsidRDefault="00BD3A5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D3A5E" w:rsidRDefault="00912AA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Článok III – INFORMÁCIE 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O PRIJATÝCH POSTUPOCH</w:t>
      </w:r>
    </w:p>
    <w:p w:rsidR="00BD3A5E" w:rsidRDefault="00BD3A5E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D3A5E" w:rsidRDefault="00912AA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-</w:t>
      </w:r>
    </w:p>
    <w:p w:rsidR="00BD3A5E" w:rsidRDefault="00912AA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D3A5E" w:rsidRDefault="00BD3A5E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D3A5E" w:rsidRDefault="00912AA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2) Informácia o aplikácii účtovnýc</w:t>
      </w:r>
      <w:r>
        <w:rPr>
          <w:rFonts w:ascii="Arial Narrow" w:hAnsi="Arial Narrow" w:cs="Arial Narrow"/>
          <w:sz w:val="22"/>
          <w:szCs w:val="22"/>
        </w:rPr>
        <w:t xml:space="preserve">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</w:t>
      </w:r>
      <w:r>
        <w:rPr>
          <w:rFonts w:ascii="Arial Narrow" w:hAnsi="Arial Narrow" w:cs="Arial Narrow"/>
          <w:sz w:val="22"/>
          <w:szCs w:val="22"/>
        </w:rPr>
        <w:t>ie v neporovnateľných hodnotách:-</w:t>
      </w:r>
    </w:p>
    <w:p w:rsidR="00BD3A5E" w:rsidRDefault="00BD3A5E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D3A5E" w:rsidRDefault="00912AA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</w:t>
      </w:r>
      <w:r>
        <w:rPr>
          <w:rFonts w:ascii="Arial Narrow" w:hAnsi="Arial Narrow" w:cs="Arial Narrow"/>
          <w:sz w:val="22"/>
          <w:szCs w:val="22"/>
        </w:rPr>
        <w:t>uvedenie týchto rizík alebo prínosov je potrebné na účely posúdenia finančnej situácie účtovnej jednotky (napr. súdne spory, zmluvy, časovo limitované licencie a oprávnenia, podnikové kombinácie, záväzky investovať, dopad legislatívy, celkový pokles v hosp</w:t>
      </w:r>
      <w:r>
        <w:rPr>
          <w:rFonts w:ascii="Arial Narrow" w:hAnsi="Arial Narrow" w:cs="Arial Narrow"/>
          <w:sz w:val="22"/>
          <w:szCs w:val="22"/>
        </w:rPr>
        <w:t>odárskom segmente):    -</w:t>
      </w:r>
    </w:p>
    <w:p w:rsidR="00BD3A5E" w:rsidRDefault="00BD3A5E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D3A5E" w:rsidRDefault="00912AA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:rsidR="00BD3A5E" w:rsidRDefault="00912AA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Spôsob oceňovania majetku a záväzkov (§ 25 ZoU):</w:t>
      </w:r>
    </w:p>
    <w:p w:rsidR="00BD3A5E" w:rsidRDefault="00BD3A5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BD3A5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D3A5E" w:rsidRDefault="00912A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lastRenderedPageBreak/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D3A5E" w:rsidRDefault="00912A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D3A5E" w:rsidRDefault="00912A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BD3A5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D3A5E" w:rsidRDefault="00912A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D3A5E" w:rsidRDefault="00912A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D3A5E" w:rsidRDefault="00912A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Obstarávacia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cena</w:t>
            </w:r>
          </w:p>
        </w:tc>
      </w:tr>
      <w:tr w:rsidR="00BD3A5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D3A5E" w:rsidRDefault="00912A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D3A5E" w:rsidRDefault="00912A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D3A5E" w:rsidRDefault="00912A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D3A5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D3A5E" w:rsidRDefault="00912A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D3A5E" w:rsidRDefault="00912A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D3A5E" w:rsidRDefault="00912A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D3A5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D3A5E" w:rsidRDefault="00912A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D3A5E" w:rsidRDefault="00912AA4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D3A5E" w:rsidRDefault="00912A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D3A5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D3A5E" w:rsidRDefault="00912A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D3A5E" w:rsidRDefault="00912A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tok interne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D3A5E" w:rsidRDefault="00912A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D3A5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D3A5E" w:rsidRDefault="00912A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D3A5E" w:rsidRDefault="00912A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D3A5E" w:rsidRDefault="00912A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D3A5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D3A5E" w:rsidRDefault="00912A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D3A5E" w:rsidRDefault="00912AA4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D3A5E" w:rsidRDefault="00912A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D3A5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D3A5E" w:rsidRDefault="00912A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D3A5E" w:rsidRDefault="00912A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D3A5E" w:rsidRDefault="00912A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D3A5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D3A5E" w:rsidRDefault="00912A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D3A5E" w:rsidRDefault="00912A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D3A5E" w:rsidRDefault="00912A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Vlastné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náklady</w:t>
            </w:r>
          </w:p>
        </w:tc>
      </w:tr>
      <w:tr w:rsidR="00BD3A5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D3A5E" w:rsidRDefault="00912A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D3A5E" w:rsidRDefault="00912A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D3A5E" w:rsidRDefault="00912A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D3A5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D3A5E" w:rsidRDefault="00912A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D3A5E" w:rsidRDefault="00912AA4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D3A5E" w:rsidRDefault="00912A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D3A5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D3A5E" w:rsidRDefault="00912A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D3A5E" w:rsidRDefault="00912A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D3A5E" w:rsidRDefault="00912A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D3A5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D3A5E" w:rsidRDefault="00912A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D3A5E" w:rsidRDefault="00912A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D3A5E" w:rsidRDefault="00912A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D3A5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D3A5E" w:rsidRDefault="00912A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D3A5E" w:rsidRDefault="00912A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D3A5E" w:rsidRDefault="00912A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D3A5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D3A5E" w:rsidRDefault="00912A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D3A5E" w:rsidRDefault="00912A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D3A5E" w:rsidRDefault="00912A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D3A5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D3A5E" w:rsidRDefault="00912A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D3A5E" w:rsidRDefault="00912A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D3A5E" w:rsidRDefault="00912A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D3A5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D3A5E" w:rsidRDefault="00912A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D3A5E" w:rsidRDefault="00912AA4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D3A5E" w:rsidRDefault="00912A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D3A5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D3A5E" w:rsidRDefault="00912A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D3A5E" w:rsidRDefault="00912A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D3A5E" w:rsidRDefault="00912A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D3A5E">
        <w:tc>
          <w:tcPr>
            <w:tcW w:w="706" w:type="dxa"/>
            <w:shd w:val="clear" w:color="auto" w:fill="auto"/>
          </w:tcPr>
          <w:p w:rsidR="00BD3A5E" w:rsidRDefault="00912A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BD3A5E" w:rsidRDefault="00912AA4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</w:tcPr>
          <w:p w:rsidR="00BD3A5E" w:rsidRDefault="00912A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D3A5E">
        <w:tc>
          <w:tcPr>
            <w:tcW w:w="706" w:type="dxa"/>
            <w:shd w:val="clear" w:color="auto" w:fill="auto"/>
          </w:tcPr>
          <w:p w:rsidR="00BD3A5E" w:rsidRDefault="00912A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BD3A5E" w:rsidRDefault="00912AA4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</w:tcPr>
          <w:p w:rsidR="00BD3A5E" w:rsidRDefault="00912A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D3A5E">
        <w:tc>
          <w:tcPr>
            <w:tcW w:w="706" w:type="dxa"/>
            <w:shd w:val="clear" w:color="auto" w:fill="auto"/>
          </w:tcPr>
          <w:p w:rsidR="00BD3A5E" w:rsidRDefault="00912A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BD3A5E" w:rsidRDefault="00912AA4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</w:tcPr>
          <w:p w:rsidR="00BD3A5E" w:rsidRDefault="00912A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D3A5E" w:rsidRDefault="00BD3A5E">
      <w:pPr>
        <w:jc w:val="both"/>
        <w:rPr>
          <w:rFonts w:ascii="Arial Narrow" w:hAnsi="Arial Narrow" w:cs="Arial Narrow"/>
          <w:sz w:val="22"/>
          <w:szCs w:val="22"/>
        </w:rPr>
      </w:pPr>
    </w:p>
    <w:p w:rsidR="00BD3A5E" w:rsidRDefault="00912AA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nebolo účtované. </w:t>
      </w:r>
    </w:p>
    <w:p w:rsidR="00BD3A5E" w:rsidRDefault="00912AA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</w:t>
      </w:r>
      <w:r>
        <w:rPr>
          <w:rFonts w:ascii="Arial Narrow" w:hAnsi="Arial Narrow" w:cs="Arial Narrow"/>
          <w:sz w:val="22"/>
          <w:szCs w:val="22"/>
        </w:rPr>
        <w:t xml:space="preserve">na ich úhradu. </w:t>
      </w:r>
    </w:p>
    <w:p w:rsidR="00BD3A5E" w:rsidRDefault="00912AA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p w:rsidR="00BD3A5E" w:rsidRDefault="00912AA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BD3A5E" w:rsidRDefault="00912AA4">
      <w:pPr>
        <w:spacing w:after="12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 xml:space="preserve">Komentár </w:t>
      </w:r>
      <w:r>
        <w:rPr>
          <w:rFonts w:ascii="Arial Narrow" w:hAnsi="Arial Narrow"/>
          <w:sz w:val="22"/>
          <w:szCs w:val="22"/>
          <w:u w:val="single"/>
        </w:rPr>
        <w:t>k oceňovaniu majetku a záväzkov</w:t>
      </w:r>
      <w:r>
        <w:rPr>
          <w:rFonts w:ascii="Arial Narrow" w:hAnsi="Arial Narrow"/>
          <w:sz w:val="22"/>
          <w:szCs w:val="22"/>
        </w:rPr>
        <w:t xml:space="preserve">: </w:t>
      </w:r>
    </w:p>
    <w:p w:rsidR="00BD3A5E" w:rsidRDefault="00912AA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Finančné nástroje</w:t>
      </w:r>
      <w:r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</w:t>
      </w:r>
      <w:r>
        <w:rPr>
          <w:rFonts w:ascii="Arial Narrow" w:hAnsi="Arial Narrow" w:cs="Arial Narrow"/>
          <w:sz w:val="22"/>
          <w:szCs w:val="22"/>
        </w:rPr>
        <w:t>žného trhu (pokladničné poukážky, vkladové listy).</w:t>
      </w:r>
    </w:p>
    <w:p w:rsidR="00BD3A5E" w:rsidRDefault="00912AA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Opravné položky</w:t>
      </w:r>
      <w:r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 w:rsidR="00BD3A5E" w:rsidRDefault="00912AA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>
        <w:rPr>
          <w:rFonts w:ascii="Arial Narrow" w:hAnsi="Arial Narrow" w:cs="Arial Narrow"/>
          <w:sz w:val="22"/>
          <w:szCs w:val="22"/>
        </w:rPr>
        <w:t xml:space="preserve"> a opravnú položku k dlhodobej pôž</w:t>
      </w:r>
      <w:r>
        <w:rPr>
          <w:rFonts w:ascii="Arial Narrow" w:hAnsi="Arial Narrow" w:cs="Arial Narrow"/>
          <w:sz w:val="22"/>
          <w:szCs w:val="22"/>
        </w:rPr>
        <w:t xml:space="preserve">ičke UJ stanovila </w:t>
      </w:r>
      <w:r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BD3A5E" w:rsidRDefault="00912AA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Rezervy</w:t>
      </w:r>
      <w:r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BD3A5E" w:rsidRDefault="00912AA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</w:t>
      </w:r>
      <w:r>
        <w:rPr>
          <w:rFonts w:ascii="Arial Narrow" w:hAnsi="Arial Narrow" w:cs="Arial Narrow"/>
          <w:sz w:val="22"/>
          <w:szCs w:val="22"/>
        </w:rPr>
        <w:t xml:space="preserve">(§ 27 ZoU) nepoužila ocenenie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BD3A5E" w:rsidRDefault="00912AA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BD3A5E" w:rsidRDefault="00912AA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hAnsi="Arial Narrow" w:cs="Arial Narrow"/>
          <w:sz w:val="22"/>
          <w:szCs w:val="22"/>
        </w:rPr>
        <w:t xml:space="preserve"> cudzej meny v</w:t>
      </w:r>
      <w:r>
        <w:rPr>
          <w:rFonts w:ascii="Arial Narrow" w:hAnsi="Arial Narrow" w:cs="Arial Narrow"/>
          <w:sz w:val="22"/>
          <w:szCs w:val="22"/>
        </w:rPr>
        <w:t xml:space="preserve"> hotovosti alebo na bankový účet – </w:t>
      </w:r>
      <w:r>
        <w:rPr>
          <w:rFonts w:ascii="Arial Narrow" w:hAnsi="Arial Narrow" w:cs="Arial Narrow"/>
          <w:sz w:val="22"/>
          <w:szCs w:val="22"/>
          <w:u w:val="single"/>
        </w:rPr>
        <w:t>zmenárenský kurz</w:t>
      </w:r>
      <w:r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BD3A5E" w:rsidRDefault="00912AA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</w:t>
      </w:r>
      <w:r>
        <w:rPr>
          <w:rFonts w:ascii="Arial Narrow" w:hAnsi="Arial Narrow" w:cs="Arial Narrow"/>
          <w:sz w:val="22"/>
          <w:szCs w:val="22"/>
        </w:rPr>
        <w:t>§ 24/6 ZoU).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BD3A5E" w:rsidRDefault="00912AA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BD3A5E" w:rsidRDefault="00BD3A5E"/>
    <w:p w:rsidR="00BD3A5E" w:rsidRDefault="00912AA4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57"/>
        <w:gridCol w:w="1005"/>
        <w:gridCol w:w="2087"/>
        <w:gridCol w:w="2239"/>
      </w:tblGrid>
      <w:tr w:rsidR="00BD3A5E">
        <w:tc>
          <w:tcPr>
            <w:tcW w:w="4218" w:type="dxa"/>
          </w:tcPr>
          <w:p w:rsidR="00BD3A5E" w:rsidRDefault="00912AA4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:rsidR="00BD3A5E" w:rsidRDefault="00912AA4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</w:tcPr>
          <w:p w:rsidR="00BD3A5E" w:rsidRDefault="00912AA4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BD3A5E" w:rsidRDefault="00912AA4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BD3A5E" w:rsidRDefault="00912AA4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BD3A5E" w:rsidRDefault="00912AA4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BD3A5E" w:rsidRDefault="00912AA4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BD3A5E" w:rsidRDefault="00912AA4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BD3A5E">
        <w:tc>
          <w:tcPr>
            <w:tcW w:w="4218" w:type="dxa"/>
          </w:tcPr>
          <w:p w:rsidR="00BD3A5E" w:rsidRDefault="00912AA4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BD3A5E" w:rsidRDefault="00912AA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BD3A5E" w:rsidRDefault="00912AA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BD3A5E" w:rsidRDefault="00912AA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BD3A5E">
        <w:tc>
          <w:tcPr>
            <w:tcW w:w="4218" w:type="dxa"/>
          </w:tcPr>
          <w:p w:rsidR="00BD3A5E" w:rsidRDefault="00912AA4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BD3A5E" w:rsidRDefault="00912AA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BD3A5E" w:rsidRDefault="00912AA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BD3A5E" w:rsidRDefault="00912AA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BD3A5E">
        <w:tc>
          <w:tcPr>
            <w:tcW w:w="4218" w:type="dxa"/>
          </w:tcPr>
          <w:p w:rsidR="00BD3A5E" w:rsidRDefault="00912AA4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BD3A5E" w:rsidRDefault="00912AA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BD3A5E" w:rsidRDefault="00912AA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:rsidR="00BD3A5E" w:rsidRDefault="00912AA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BD3A5E">
        <w:tc>
          <w:tcPr>
            <w:tcW w:w="4218" w:type="dxa"/>
          </w:tcPr>
          <w:p w:rsidR="00BD3A5E" w:rsidRDefault="00912AA4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</w:tcPr>
          <w:p w:rsidR="00BD3A5E" w:rsidRDefault="00912AA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BD3A5E" w:rsidRDefault="00912AA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BD3A5E" w:rsidRDefault="00912AA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BD3A5E">
        <w:tc>
          <w:tcPr>
            <w:tcW w:w="4218" w:type="dxa"/>
          </w:tcPr>
          <w:p w:rsidR="00BD3A5E" w:rsidRDefault="00912AA4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BD3A5E" w:rsidRDefault="00912AA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BD3A5E" w:rsidRDefault="00912AA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BD3A5E" w:rsidRDefault="00912AA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BD3A5E">
        <w:tc>
          <w:tcPr>
            <w:tcW w:w="4218" w:type="dxa"/>
          </w:tcPr>
          <w:p w:rsidR="00BD3A5E" w:rsidRDefault="00912AA4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BD3A5E" w:rsidRDefault="00912AA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BD3A5E" w:rsidRDefault="00912AA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BD3A5E" w:rsidRDefault="00912AA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BD3A5E">
        <w:tc>
          <w:tcPr>
            <w:tcW w:w="4218" w:type="dxa"/>
          </w:tcPr>
          <w:p w:rsidR="00BD3A5E" w:rsidRDefault="00912AA4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BD3A5E" w:rsidRDefault="00912AA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BD3A5E" w:rsidRDefault="00912AA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4-12</w:t>
            </w:r>
          </w:p>
        </w:tc>
        <w:tc>
          <w:tcPr>
            <w:tcW w:w="2268" w:type="dxa"/>
          </w:tcPr>
          <w:p w:rsidR="00BD3A5E" w:rsidRDefault="00912AA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8,33-25</w:t>
            </w:r>
          </w:p>
        </w:tc>
      </w:tr>
    </w:tbl>
    <w:p w:rsidR="00BD3A5E" w:rsidRDefault="00912AA4">
      <w:pPr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:rsidR="00BD3A5E" w:rsidRDefault="00912AA4">
      <w:pPr>
        <w:spacing w:after="12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/>
          <w:sz w:val="22"/>
          <w:szCs w:val="22"/>
        </w:rPr>
        <w:t xml:space="preserve">: </w:t>
      </w:r>
    </w:p>
    <w:p w:rsidR="00BD3A5E" w:rsidRDefault="00912AA4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začína majetok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v súlade s účtovnými odpismy.</w:t>
      </w:r>
    </w:p>
    <w:p w:rsidR="00BD3A5E" w:rsidRDefault="00912AA4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</w:t>
      </w:r>
      <w:r>
        <w:rPr>
          <w:rFonts w:ascii="Arial Narrow" w:hAnsi="Arial Narrow" w:cs="Arial"/>
          <w:sz w:val="22"/>
          <w:szCs w:val="22"/>
        </w:rPr>
        <w:t>robný účtovný odpisový plán po položkách sa vedie v podsystéme Majetok s podporou softvéru Fibu (taktiež daňové odpisy podľa zákona o dani z príjmov).</w:t>
      </w:r>
    </w:p>
    <w:p w:rsidR="00BD3A5E" w:rsidRDefault="00912AA4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súbory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</w:t>
      </w:r>
      <w:r>
        <w:rPr>
          <w:rFonts w:ascii="Arial Narrow" w:hAnsi="Arial Narrow" w:cs="Arial"/>
          <w:sz w:val="22"/>
          <w:szCs w:val="22"/>
        </w:rPr>
        <w:t>tava). UJ nepoužíva komponentné odpisovanie (odpisovanie častí majetku - komponentov).</w:t>
      </w:r>
    </w:p>
    <w:p w:rsidR="00BD3A5E" w:rsidRDefault="00912AA4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:rsidR="00BD3A5E" w:rsidRDefault="00912AA4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ÚJ </w:t>
      </w:r>
      <w:r>
        <w:rPr>
          <w:rFonts w:ascii="Arial Narrow" w:hAnsi="Arial Narrow"/>
          <w:sz w:val="22"/>
          <w:szCs w:val="22"/>
          <w:u w:val="single"/>
        </w:rPr>
        <w:t>nepoužíva kategóriu drobného dlhodobého nehmot</w:t>
      </w:r>
      <w:r>
        <w:rPr>
          <w:rFonts w:ascii="Arial Narrow" w:hAnsi="Arial Narrow"/>
          <w:sz w:val="22"/>
          <w:szCs w:val="22"/>
          <w:u w:val="single"/>
        </w:rPr>
        <w:t>ného majetku</w:t>
      </w:r>
      <w:r>
        <w:rPr>
          <w:rFonts w:ascii="Arial Narrow" w:hAnsi="Arial Narrow"/>
          <w:sz w:val="22"/>
          <w:szCs w:val="22"/>
        </w:rPr>
        <w:t xml:space="preserve"> - položky pod 2 400 eur jednotkovej ceny so životnosťou nad jeden rok (§ 13/2 PU).</w:t>
      </w:r>
    </w:p>
    <w:p w:rsidR="00BD3A5E" w:rsidRDefault="00912AA4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ÚJ </w:t>
      </w:r>
      <w:r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/>
          <w:sz w:val="22"/>
          <w:szCs w:val="22"/>
        </w:rPr>
        <w:t xml:space="preserve"> - položky pod 1 700 eur jednotkovej ceny so životnosťou nad jeden rok (§ 13/6 PU).</w:t>
      </w:r>
    </w:p>
    <w:p w:rsidR="00BD3A5E" w:rsidRDefault="00912AA4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 xml:space="preserve">nepoužíva </w:t>
      </w:r>
      <w:r>
        <w:rPr>
          <w:rFonts w:ascii="Arial Narrow" w:hAnsi="Arial Narrow" w:cs="Arial Narrow"/>
          <w:sz w:val="22"/>
          <w:szCs w:val="22"/>
          <w:u w:val="single"/>
        </w:rPr>
        <w:t>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BD3A5E" w:rsidRDefault="00912AA4">
      <w:pPr>
        <w:numPr>
          <w:ilvl w:val="0"/>
          <w:numId w:val="4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</w:t>
      </w:r>
      <w:r>
        <w:rPr>
          <w:rFonts w:ascii="Arial Narrow" w:hAnsi="Arial Narrow" w:cs="Arial Narrow"/>
          <w:sz w:val="22"/>
          <w:szCs w:val="22"/>
        </w:rPr>
        <w:t>hodobého hmotného majetku alebo dlhodobého nehmotného majetku (§ 34/1 PU; § 35/2/h PU).</w:t>
      </w:r>
    </w:p>
    <w:p w:rsidR="00BD3A5E" w:rsidRDefault="00BD3A5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D3A5E" w:rsidRDefault="00912AA4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-</w:t>
      </w:r>
    </w:p>
    <w:p w:rsidR="00BD3A5E" w:rsidRDefault="00BD3A5E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BD3A5E" w:rsidRDefault="00912AA4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nenastali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BD3A5E">
        <w:tc>
          <w:tcPr>
            <w:tcW w:w="1601" w:type="pct"/>
            <w:shd w:val="clear" w:color="auto" w:fill="auto"/>
          </w:tcPr>
          <w:p w:rsidR="00BD3A5E" w:rsidRDefault="00912AA4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BD3A5E" w:rsidRDefault="00912AA4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BD3A5E" w:rsidRDefault="00912AA4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BD3A5E" w:rsidRDefault="00912AA4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BD3A5E" w:rsidRDefault="00912AA4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BD3A5E">
        <w:tc>
          <w:tcPr>
            <w:tcW w:w="1601" w:type="pct"/>
            <w:shd w:val="clear" w:color="auto" w:fill="auto"/>
          </w:tcPr>
          <w:p w:rsidR="00BD3A5E" w:rsidRDefault="00BD3A5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BD3A5E" w:rsidRDefault="00BD3A5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BD3A5E" w:rsidRDefault="00BD3A5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BD3A5E" w:rsidRDefault="00BD3A5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BD3A5E" w:rsidRDefault="00BD3A5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D3A5E">
        <w:tc>
          <w:tcPr>
            <w:tcW w:w="1601" w:type="pct"/>
            <w:shd w:val="clear" w:color="auto" w:fill="auto"/>
          </w:tcPr>
          <w:p w:rsidR="00BD3A5E" w:rsidRDefault="00BD3A5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BD3A5E" w:rsidRDefault="00BD3A5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BD3A5E" w:rsidRDefault="00BD3A5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BD3A5E" w:rsidRDefault="00BD3A5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BD3A5E" w:rsidRDefault="00BD3A5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D3A5E" w:rsidRDefault="00BD3A5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D3A5E" w:rsidRDefault="00912AA4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 xml:space="preserve">Vysvetlivky k oprave chýb </w:t>
      </w:r>
      <w:r>
        <w:rPr>
          <w:rFonts w:ascii="Arial Narrow" w:hAnsi="Arial Narrow" w:cs="Arial Narrow"/>
          <w:sz w:val="22"/>
          <w:szCs w:val="22"/>
          <w:u w:val="single"/>
        </w:rPr>
        <w:t>minulých účtovných období:</w:t>
      </w:r>
    </w:p>
    <w:p w:rsidR="00BD3A5E" w:rsidRDefault="00912AA4"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Po schválení účtovnej závierky na valnom zhromaždení už nemožno otvárať účtovné knihy minulých účtovných období a prípadné opravy sa vykonajú v bežnom účtovnom období (§ 16/10,11 ZoU).</w:t>
      </w:r>
    </w:p>
    <w:p w:rsidR="00BD3A5E" w:rsidRDefault="00912AA4"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BD3A5E" w:rsidRDefault="00912AA4"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Významné opravy chýb minulých účtovných období sa účtujú (§ 59/13 PU) - voči minulým výsledkom ho</w:t>
      </w:r>
      <w:r>
        <w:rPr>
          <w:rFonts w:ascii="Arial Narrow" w:hAnsi="Arial Narrow" w:cs="Arial Narrow"/>
          <w:sz w:val="22"/>
          <w:szCs w:val="22"/>
        </w:rPr>
        <w:t xml:space="preserve">spodárenia (voči vlastnému imaniu na účet 428 alebo 429). </w:t>
      </w:r>
    </w:p>
    <w:p w:rsidR="00BD3A5E" w:rsidRDefault="00912AA4"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BD3A5E" w:rsidRDefault="00912AA4"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Pri ukladaní pokuty za nesprávnosti v účtovníctve prihliadne daňový úrad aj na to, či </w:t>
      </w:r>
      <w:r>
        <w:rPr>
          <w:rFonts w:ascii="Arial Narrow" w:hAnsi="Arial Narrow" w:cs="Arial Narrow"/>
          <w:sz w:val="22"/>
          <w:szCs w:val="22"/>
        </w:rPr>
        <w:t>UJ písomne ohlásila obsah a sumu vykonanej opravy chýb minulých účtovných období (§ 38/5 ZoU).</w:t>
      </w:r>
    </w:p>
    <w:p w:rsidR="00BD3A5E" w:rsidRDefault="00912AA4"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chýb minulých účtovných období sa daňovo vysporiadajú podľa pravidiel v zákone o dani z príjmov (§ 17/15,29 ZDP) a pravidiel v daňovom poriadku (§ 16). </w:t>
      </w:r>
    </w:p>
    <w:p w:rsidR="00BD3A5E" w:rsidRDefault="00BD3A5E">
      <w:pPr>
        <w:jc w:val="both"/>
        <w:rPr>
          <w:rFonts w:ascii="Arial Narrow" w:hAnsi="Arial Narrow" w:cs="Arial Narrow"/>
          <w:sz w:val="22"/>
          <w:szCs w:val="22"/>
        </w:rPr>
      </w:pPr>
    </w:p>
    <w:p w:rsidR="00BD3A5E" w:rsidRDefault="00912AA4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:rsidR="00BD3A5E" w:rsidRDefault="00BD3A5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D3A5E" w:rsidRDefault="00912AA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>
        <w:rPr>
          <w:rFonts w:ascii="Arial Narrow" w:hAnsi="Arial Narrow" w:cs="Arial Narrow"/>
          <w:sz w:val="22"/>
          <w:szCs w:val="22"/>
        </w:rPr>
        <w:t xml:space="preserve"> -</w:t>
      </w:r>
    </w:p>
    <w:p w:rsidR="00BD3A5E" w:rsidRDefault="00BD3A5E">
      <w:pPr>
        <w:jc w:val="both"/>
        <w:rPr>
          <w:rFonts w:ascii="Arial Narrow" w:hAnsi="Arial Narrow" w:cs="Arial Narrow"/>
          <w:sz w:val="22"/>
          <w:szCs w:val="22"/>
        </w:rPr>
      </w:pPr>
    </w:p>
    <w:p w:rsidR="00BD3A5E" w:rsidRDefault="00912AA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</w:t>
      </w:r>
      <w:r>
        <w:rPr>
          <w:rFonts w:ascii="Arial Narrow" w:hAnsi="Arial Narrow" w:cs="Arial Narrow"/>
          <w:sz w:val="22"/>
          <w:szCs w:val="22"/>
        </w:rPr>
        <w:t xml:space="preserve"> 17a - 17e ZDP)]</w:t>
      </w:r>
    </w:p>
    <w:p w:rsidR="00BD3A5E" w:rsidRDefault="00BD3A5E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D3A5E" w:rsidRDefault="00912AA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-</w:t>
      </w:r>
    </w:p>
    <w:p w:rsidR="00BD3A5E" w:rsidRDefault="00BD3A5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D3A5E" w:rsidRDefault="00912AA4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Pritom sa uvádza forma tohto zabezpečenia a uvádza sa zmena reálnej hodnoty v priebehu účtovného obdobia (§ 27 ZoU). Pre každý druh </w:t>
      </w:r>
      <w:r>
        <w:rPr>
          <w:rFonts w:ascii="Arial Narrow" w:hAnsi="Arial Narrow" w:cs="Arial Narrow"/>
          <w:sz w:val="22"/>
          <w:szCs w:val="22"/>
        </w:rPr>
        <w:t>derivátov sa uvádza informácia o rozsahu a povahe týchto derivátov vrátane významných podmienok, ktoré môžu ovplyvniť sumu, načasovanie a mieru istoty budúcich peňažných tokov a </w:t>
      </w:r>
      <w:r>
        <w:rPr>
          <w:rFonts w:ascii="Arial Narrow" w:hAnsi="Arial Narrow" w:cs="Arial Narrow"/>
          <w:sz w:val="22"/>
          <w:szCs w:val="22"/>
          <w:u w:val="single"/>
        </w:rPr>
        <w:t>v tabuľkovej forme</w:t>
      </w:r>
      <w:r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BD3A5E">
        <w:trPr>
          <w:trHeight w:val="153"/>
        </w:trPr>
        <w:tc>
          <w:tcPr>
            <w:tcW w:w="1902" w:type="pct"/>
            <w:shd w:val="clear" w:color="auto" w:fill="auto"/>
          </w:tcPr>
          <w:p w:rsidR="00BD3A5E" w:rsidRDefault="00912AA4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591" w:type="pct"/>
            <w:shd w:val="clear" w:color="auto" w:fill="auto"/>
          </w:tcPr>
          <w:p w:rsidR="00BD3A5E" w:rsidRDefault="00912AA4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BD3A5E" w:rsidRDefault="00912AA4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BD3A5E" w:rsidRDefault="00912AA4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BD3A5E" w:rsidRDefault="00912AA4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BD3A5E">
        <w:trPr>
          <w:trHeight w:val="62"/>
        </w:trPr>
        <w:tc>
          <w:tcPr>
            <w:tcW w:w="1902" w:type="pct"/>
            <w:shd w:val="clear" w:color="auto" w:fill="auto"/>
          </w:tcPr>
          <w:p w:rsidR="00BD3A5E" w:rsidRDefault="00BD3A5E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BD3A5E" w:rsidRDefault="00BD3A5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BD3A5E" w:rsidRDefault="00BD3A5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BD3A5E" w:rsidRDefault="00BD3A5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BD3A5E" w:rsidRDefault="00BD3A5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D3A5E">
        <w:trPr>
          <w:trHeight w:val="109"/>
        </w:trPr>
        <w:tc>
          <w:tcPr>
            <w:tcW w:w="1902" w:type="pct"/>
            <w:shd w:val="clear" w:color="auto" w:fill="auto"/>
          </w:tcPr>
          <w:p w:rsidR="00BD3A5E" w:rsidRDefault="00BD3A5E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BD3A5E" w:rsidRDefault="00BD3A5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BD3A5E" w:rsidRDefault="00BD3A5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BD3A5E" w:rsidRDefault="00BD3A5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BD3A5E" w:rsidRDefault="00BD3A5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D3A5E" w:rsidRDefault="00912AA4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</w:t>
      </w:r>
      <w:r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BD3A5E" w:rsidRDefault="00912AA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sa k závierkovému dňu oceňujú, okrem iného, aj deriváty a majetok a záväzky zabezpečené derivátmi (§ 27/1 ZoU); precenenie na reálnu hodnotu k závierkovému dňu sa účtuje (§ 16 PU) - výsledkovo (účty 56x, 66x) alebo súvahovo (účet 414)].</w:t>
      </w:r>
    </w:p>
    <w:p w:rsidR="00BD3A5E" w:rsidRDefault="00BD3A5E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D3A5E" w:rsidRDefault="00912AA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BD3A5E">
        <w:trPr>
          <w:trHeight w:val="693"/>
          <w:jc w:val="center"/>
        </w:trPr>
        <w:tc>
          <w:tcPr>
            <w:tcW w:w="2463" w:type="pct"/>
            <w:vAlign w:val="center"/>
          </w:tcPr>
          <w:p w:rsidR="00BD3A5E" w:rsidRDefault="00912AA4">
            <w:pPr>
              <w:pStyle w:val="TopHeader"/>
            </w:pPr>
            <w:r>
              <w:t>Názov položky</w:t>
            </w:r>
          </w:p>
        </w:tc>
        <w:tc>
          <w:tcPr>
            <w:tcW w:w="1314" w:type="pct"/>
            <w:noWrap/>
            <w:vAlign w:val="center"/>
          </w:tcPr>
          <w:p w:rsidR="00BD3A5E" w:rsidRDefault="00912AA4">
            <w:pPr>
              <w:pStyle w:val="TopHeader"/>
            </w:pPr>
            <w:r>
              <w:t>Bežné účtovné obdobie</w:t>
            </w:r>
          </w:p>
        </w:tc>
        <w:tc>
          <w:tcPr>
            <w:tcW w:w="1223" w:type="pct"/>
            <w:vAlign w:val="center"/>
          </w:tcPr>
          <w:p w:rsidR="00BD3A5E" w:rsidRDefault="00912AA4">
            <w:pPr>
              <w:pStyle w:val="TopHeader"/>
            </w:pPr>
            <w:r>
              <w:t>Bezprostredne predchádzajúce účtovné obdobie</w:t>
            </w:r>
          </w:p>
        </w:tc>
      </w:tr>
      <w:tr w:rsidR="00BD3A5E">
        <w:trPr>
          <w:trHeight w:val="207"/>
          <w:jc w:val="center"/>
        </w:trPr>
        <w:tc>
          <w:tcPr>
            <w:tcW w:w="2463" w:type="pct"/>
            <w:vAlign w:val="center"/>
          </w:tcPr>
          <w:p w:rsidR="00BD3A5E" w:rsidRDefault="00912AA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BD3A5E" w:rsidRDefault="00912AA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:rsidR="00BD3A5E" w:rsidRDefault="00912AA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BD3A5E" w:rsidRDefault="00912AA4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Zostatková doba </w:t>
      </w:r>
      <w:r>
        <w:rPr>
          <w:rFonts w:ascii="Arial Narrow" w:hAnsi="Arial Narrow" w:cs="Arial Narrow"/>
          <w:sz w:val="22"/>
          <w:szCs w:val="22"/>
        </w:rPr>
        <w:t>splatnosti záväzku alebo jeho časti – je rozdiel medzi dohodnutou dobou splatnosti záväzkov a závierkovým dňom (§ 12 PU).]</w:t>
      </w:r>
    </w:p>
    <w:p w:rsidR="00BD3A5E" w:rsidRDefault="00BD3A5E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BD3A5E" w:rsidRDefault="00912AA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-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28"/>
        <w:gridCol w:w="2787"/>
        <w:gridCol w:w="2373"/>
      </w:tblGrid>
      <w:tr w:rsidR="00BD3A5E">
        <w:trPr>
          <w:jc w:val="center"/>
        </w:trPr>
        <w:tc>
          <w:tcPr>
            <w:tcW w:w="4201" w:type="dxa"/>
            <w:vMerge w:val="restart"/>
            <w:vAlign w:val="center"/>
          </w:tcPr>
          <w:p w:rsidR="00BD3A5E" w:rsidRDefault="00912AA4">
            <w:pPr>
              <w:pStyle w:val="TopHeader"/>
            </w:pPr>
            <w:r>
              <w:t>Zabezpečené záväzky</w:t>
            </w:r>
          </w:p>
        </w:tc>
        <w:tc>
          <w:tcPr>
            <w:tcW w:w="5010" w:type="dxa"/>
            <w:gridSpan w:val="2"/>
            <w:vAlign w:val="center"/>
          </w:tcPr>
          <w:p w:rsidR="00BD3A5E" w:rsidRDefault="00912AA4">
            <w:pPr>
              <w:pStyle w:val="TopHeader"/>
            </w:pPr>
            <w:r>
              <w:t>Bežné účtovné obdobie</w:t>
            </w:r>
          </w:p>
        </w:tc>
      </w:tr>
      <w:tr w:rsidR="00BD3A5E">
        <w:trPr>
          <w:jc w:val="center"/>
        </w:trPr>
        <w:tc>
          <w:tcPr>
            <w:tcW w:w="4201" w:type="dxa"/>
            <w:vMerge/>
            <w:vAlign w:val="center"/>
          </w:tcPr>
          <w:p w:rsidR="00BD3A5E" w:rsidRDefault="00BD3A5E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BD3A5E" w:rsidRDefault="00912AA4">
            <w:pPr>
              <w:pStyle w:val="TopHeader"/>
            </w:pPr>
            <w:r>
              <w:t xml:space="preserve">Spôsob </w:t>
            </w:r>
          </w:p>
          <w:p w:rsidR="00BD3A5E" w:rsidRDefault="00912AA4">
            <w:pPr>
              <w:pStyle w:val="TopHeader"/>
            </w:pPr>
            <w:r>
              <w:t>zabezpečenia</w:t>
            </w:r>
          </w:p>
        </w:tc>
        <w:tc>
          <w:tcPr>
            <w:tcW w:w="2304" w:type="dxa"/>
            <w:vAlign w:val="center"/>
          </w:tcPr>
          <w:p w:rsidR="00BD3A5E" w:rsidRDefault="00912AA4">
            <w:pPr>
              <w:pStyle w:val="TopHeader"/>
            </w:pPr>
            <w:r>
              <w:t>Hodnota záväzkov</w:t>
            </w:r>
          </w:p>
        </w:tc>
      </w:tr>
      <w:tr w:rsidR="00BD3A5E">
        <w:trPr>
          <w:trHeight w:val="69"/>
          <w:jc w:val="center"/>
        </w:trPr>
        <w:tc>
          <w:tcPr>
            <w:tcW w:w="4201" w:type="dxa"/>
            <w:vAlign w:val="center"/>
          </w:tcPr>
          <w:p w:rsidR="00BD3A5E" w:rsidRDefault="00912AA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BD3A5E" w:rsidRDefault="00912AA4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BD3A5E" w:rsidRDefault="00BD3A5E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D3A5E">
        <w:trPr>
          <w:trHeight w:val="117"/>
          <w:jc w:val="center"/>
        </w:trPr>
        <w:tc>
          <w:tcPr>
            <w:tcW w:w="4201" w:type="dxa"/>
            <w:vAlign w:val="center"/>
          </w:tcPr>
          <w:p w:rsidR="00BD3A5E" w:rsidRDefault="00912AA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BD3A5E" w:rsidRDefault="00BD3A5E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BD3A5E" w:rsidRDefault="00BD3A5E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D3A5E">
        <w:trPr>
          <w:trHeight w:val="117"/>
          <w:jc w:val="center"/>
        </w:trPr>
        <w:tc>
          <w:tcPr>
            <w:tcW w:w="4201" w:type="dxa"/>
            <w:vAlign w:val="center"/>
          </w:tcPr>
          <w:p w:rsidR="00BD3A5E" w:rsidRDefault="00912AA4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BD3A5E" w:rsidRDefault="00912AA4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BD3A5E" w:rsidRDefault="00BD3A5E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D3A5E" w:rsidRDefault="00BD3A5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D3A5E" w:rsidRDefault="00912AA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>: -</w:t>
      </w:r>
    </w:p>
    <w:p w:rsidR="00BD3A5E" w:rsidRDefault="00912AA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dôvod nadobudnutia vlastných akcií počas účtovného </w:t>
      </w:r>
      <w:r>
        <w:rPr>
          <w:rFonts w:ascii="Arial Narrow" w:hAnsi="Arial Narrow" w:cs="Arial Narrow"/>
          <w:sz w:val="22"/>
          <w:szCs w:val="22"/>
        </w:rPr>
        <w:t>obdobia:</w:t>
      </w:r>
    </w:p>
    <w:p w:rsidR="00BD3A5E" w:rsidRDefault="00912AA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</w:t>
      </w:r>
      <w:r>
        <w:rPr>
          <w:rFonts w:ascii="Arial Narrow" w:hAnsi="Arial Narrow" w:cs="Arial Narrow"/>
          <w:sz w:val="22"/>
          <w:szCs w:val="22"/>
        </w:rPr>
        <w:t>maní:</w:t>
      </w:r>
    </w:p>
    <w:p w:rsidR="00BD3A5E" w:rsidRDefault="00912AA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BD3A5E" w:rsidRDefault="00912AA4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počet, menovitá hodnota a protihodnota, za ktorú sa vlastné </w:t>
      </w:r>
      <w:r>
        <w:rPr>
          <w:rFonts w:ascii="Arial Narrow" w:hAnsi="Arial Narrow" w:cs="Arial Narrow"/>
          <w:sz w:val="22"/>
          <w:szCs w:val="22"/>
        </w:rPr>
        <w:t>akcie nadobudli a ktoré účtovná jednotka má v držbe k poslednému dňu účtovného obdobia; uvádza sa aj ich percentuálny podiel na upísanom základnom imaní:</w:t>
      </w:r>
    </w:p>
    <w:p w:rsidR="00BD3A5E" w:rsidRDefault="00BD3A5E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D3A5E" w:rsidRDefault="00912AA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</w:t>
      </w:r>
      <w:r>
        <w:rPr>
          <w:rFonts w:ascii="Arial Narrow" w:hAnsi="Arial Narrow" w:cs="Arial Narrow"/>
          <w:sz w:val="22"/>
          <w:szCs w:val="22"/>
          <w:u w:val="single"/>
        </w:rPr>
        <w:t>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-</w:t>
      </w:r>
    </w:p>
    <w:p w:rsidR="00BD3A5E" w:rsidRDefault="00BD3A5E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D3A5E" w:rsidRDefault="00912AA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BD3A5E" w:rsidRDefault="00912AA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</w:t>
      </w:r>
      <w:r>
        <w:rPr>
          <w:rFonts w:ascii="Arial Narrow" w:hAnsi="Arial Narrow" w:cs="Arial Narrow"/>
          <w:sz w:val="22"/>
          <w:szCs w:val="22"/>
        </w:rPr>
        <w:t>ta pravdepodobného majetku, ktorým sa rozumie možný majetok, ktorý vznikol v dôsledku minulých udalostí a ktorého existencia alebo vlastníctvo závisí od toho, či nastane alebo nenastane jeden alebo viac neistých udalostí v budúcnosti, ktorých vznik nezávis</w:t>
      </w:r>
      <w:r>
        <w:rPr>
          <w:rFonts w:ascii="Arial Narrow" w:hAnsi="Arial Narrow" w:cs="Arial Narrow"/>
          <w:sz w:val="22"/>
          <w:szCs w:val="22"/>
        </w:rPr>
        <w:t>í od účtovnej jednotky; týmto majetkom sú – napr. práva zo servisných zmlúv, poistných zmlúv, koncesionárskych zmlúv, licenčných zmlúv: -</w:t>
      </w:r>
    </w:p>
    <w:p w:rsidR="00BD3A5E" w:rsidRDefault="00BD3A5E">
      <w:pPr>
        <w:jc w:val="both"/>
        <w:rPr>
          <w:rFonts w:ascii="Arial Narrow" w:hAnsi="Arial Narrow" w:cs="Arial Narrow"/>
          <w:sz w:val="22"/>
          <w:szCs w:val="22"/>
        </w:rPr>
      </w:pPr>
    </w:p>
    <w:p w:rsidR="00BD3A5E" w:rsidRDefault="00912AA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-</w:t>
      </w:r>
    </w:p>
    <w:p w:rsidR="00BD3A5E" w:rsidRDefault="00912AA4">
      <w:pPr>
        <w:numPr>
          <w:ilvl w:val="0"/>
          <w:numId w:val="6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možná povinnosť, ktorá vzni</w:t>
      </w:r>
      <w:r>
        <w:rPr>
          <w:rFonts w:ascii="Arial Narrow" w:hAnsi="Arial Narrow" w:cs="Arial Narrow"/>
          <w:sz w:val="22"/>
          <w:szCs w:val="22"/>
        </w:rPr>
        <w:t>kla ako dôsledok minulej udalosti a ktorej existencia závisí od toho, či nastane lebo nenastane jedna alebo viac neistých udalostí v budúcnosti, ktorých vznik nezávisí od účtovnej jednotky:</w:t>
      </w:r>
    </w:p>
    <w:p w:rsidR="00BD3A5E" w:rsidRDefault="00912AA4">
      <w:pPr>
        <w:numPr>
          <w:ilvl w:val="0"/>
          <w:numId w:val="6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povinnosť, ktorá vznikla ako dôsledok minulej udalosti, ale ktorá </w:t>
      </w:r>
      <w:r>
        <w:rPr>
          <w:rFonts w:ascii="Arial Narrow" w:hAnsi="Arial Narrow" w:cs="Arial Narrow"/>
          <w:sz w:val="22"/>
          <w:szCs w:val="22"/>
        </w:rPr>
        <w:t>sa nevykazuje v súvahe, pretože nie je pravdepodobné, že na splnenie tejto povinnosti bude potrebný úbytok ekonomických úžitkov, alebo výška tejto povinnosti sa nedá spoľahlivo oceniť:</w:t>
      </w:r>
    </w:p>
    <w:p w:rsidR="00BD3A5E" w:rsidRDefault="00BD3A5E">
      <w:pPr>
        <w:jc w:val="both"/>
        <w:rPr>
          <w:rFonts w:ascii="Arial Narrow" w:hAnsi="Arial Narrow" w:cs="Arial Narrow"/>
          <w:sz w:val="22"/>
          <w:szCs w:val="22"/>
        </w:rPr>
      </w:pPr>
    </w:p>
    <w:p w:rsidR="00BD3A5E" w:rsidRDefault="00912AA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</w:t>
      </w:r>
      <w:r>
        <w:rPr>
          <w:rFonts w:ascii="Arial Narrow" w:hAnsi="Arial Narrow" w:cs="Arial Narrow"/>
          <w:sz w:val="22"/>
          <w:szCs w:val="22"/>
        </w:rPr>
        <w:t>ch - napríklad zákonná povinnosť alebo zmluvná povinnosť odobrať určité množstvo produktu, uskutočniť investície a veľké opravy: -</w:t>
      </w:r>
    </w:p>
    <w:p w:rsidR="00BD3A5E" w:rsidRDefault="00BD3A5E">
      <w:pPr>
        <w:jc w:val="both"/>
        <w:rPr>
          <w:rFonts w:ascii="Arial Narrow" w:hAnsi="Arial Narrow" w:cs="Arial Narrow"/>
          <w:sz w:val="22"/>
          <w:szCs w:val="22"/>
        </w:rPr>
      </w:pPr>
    </w:p>
    <w:p w:rsidR="00BD3A5E" w:rsidRDefault="00912AA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-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BD3A5E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:rsidR="00BD3A5E" w:rsidRDefault="00912AA4">
            <w:pPr>
              <w:pStyle w:val="TopHeader"/>
            </w:pPr>
            <w:r>
              <w:t>Názov p</w:t>
            </w:r>
            <w:r>
              <w:t>odsúvahovej položky</w:t>
            </w:r>
          </w:p>
        </w:tc>
        <w:tc>
          <w:tcPr>
            <w:tcW w:w="1701" w:type="dxa"/>
            <w:noWrap/>
            <w:vAlign w:val="center"/>
          </w:tcPr>
          <w:p w:rsidR="00BD3A5E" w:rsidRDefault="00912AA4">
            <w:pPr>
              <w:pStyle w:val="TopHeader"/>
            </w:pPr>
            <w:r>
              <w:t>Bežné účtovné obdobie</w:t>
            </w:r>
          </w:p>
        </w:tc>
        <w:tc>
          <w:tcPr>
            <w:tcW w:w="1593" w:type="dxa"/>
            <w:vAlign w:val="center"/>
          </w:tcPr>
          <w:p w:rsidR="00BD3A5E" w:rsidRDefault="00912AA4">
            <w:pPr>
              <w:pStyle w:val="TopHeader"/>
            </w:pPr>
            <w:r>
              <w:t>Bezprostredne predchádzajúce účtovné obdobie</w:t>
            </w:r>
          </w:p>
        </w:tc>
      </w:tr>
      <w:tr w:rsidR="00BD3A5E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BD3A5E" w:rsidRDefault="00912AA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</w:tcPr>
          <w:p w:rsidR="00BD3A5E" w:rsidRDefault="00912AA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:rsidR="00BD3A5E" w:rsidRDefault="00912AA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D3A5E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:rsidR="00BD3A5E" w:rsidRDefault="00912AA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</w:tcPr>
          <w:p w:rsidR="00BD3A5E" w:rsidRDefault="00912AA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:rsidR="00BD3A5E" w:rsidRDefault="00912AA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D3A5E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BD3A5E" w:rsidRDefault="00912AA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Pohľadávky z opcií</w:t>
            </w:r>
          </w:p>
        </w:tc>
        <w:tc>
          <w:tcPr>
            <w:tcW w:w="1701" w:type="dxa"/>
            <w:noWrap/>
            <w:vAlign w:val="center"/>
          </w:tcPr>
          <w:p w:rsidR="00BD3A5E" w:rsidRDefault="00912AA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:rsidR="00BD3A5E" w:rsidRDefault="00912AA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D3A5E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BD3A5E" w:rsidRDefault="00912AA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noWrap/>
            <w:vAlign w:val="center"/>
          </w:tcPr>
          <w:p w:rsidR="00BD3A5E" w:rsidRDefault="00BD3A5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BD3A5E" w:rsidRDefault="00BD3A5E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D3A5E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BD3A5E" w:rsidRDefault="00912AA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BD3A5E" w:rsidRDefault="00BD3A5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BD3A5E" w:rsidRDefault="00BD3A5E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D3A5E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BD3A5E" w:rsidRDefault="00912AA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BD3A5E" w:rsidRDefault="00BD3A5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BD3A5E" w:rsidRDefault="00BD3A5E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BD3A5E" w:rsidRDefault="00BD3A5E">
      <w:pPr>
        <w:jc w:val="both"/>
        <w:rPr>
          <w:rFonts w:ascii="Arial Narrow" w:hAnsi="Arial Narrow" w:cs="Arial Narrow"/>
          <w:sz w:val="22"/>
          <w:szCs w:val="22"/>
        </w:rPr>
      </w:pPr>
    </w:p>
    <w:p w:rsidR="00BD3A5E" w:rsidRDefault="00BD3A5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D3A5E" w:rsidRDefault="00912AA4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– UDALOSTI, KTORÉ NASTALI PO ZÁVIERKOVOM DNI</w:t>
      </w:r>
    </w:p>
    <w:p w:rsidR="00BD3A5E" w:rsidRDefault="00912AA4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BD3A5E" w:rsidRDefault="00BD3A5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D3A5E" w:rsidRDefault="00912AA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</w:t>
      </w:r>
      <w:r>
        <w:rPr>
          <w:rFonts w:ascii="Arial Narrow" w:hAnsi="Arial Narrow" w:cs="Arial Narrow"/>
          <w:sz w:val="22"/>
          <w:szCs w:val="22"/>
        </w:rPr>
        <w:t>ľa § 17/5 ZoU) a ktoré nie sú zohľadnené v súvahe alebo vo výkaze ziskov a strát, napríklad: -</w:t>
      </w:r>
    </w:p>
    <w:p w:rsidR="00BD3A5E" w:rsidRDefault="00912AA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>
        <w:rPr>
          <w:rFonts w:ascii="Arial Narrow" w:hAnsi="Arial Narrow" w:cs="Arial Narrow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</w:p>
    <w:p w:rsidR="00BD3A5E" w:rsidRDefault="00BD3A5E">
      <w:pPr>
        <w:jc w:val="both"/>
        <w:rPr>
          <w:rFonts w:ascii="Arial Narrow" w:hAnsi="Arial Narrow" w:cs="Arial Narrow"/>
          <w:sz w:val="22"/>
          <w:szCs w:val="22"/>
        </w:rPr>
      </w:pPr>
    </w:p>
    <w:p w:rsidR="00BD3A5E" w:rsidRDefault="00912AA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>
        <w:rPr>
          <w:rFonts w:ascii="Arial Narrow" w:hAnsi="Arial Narrow" w:cs="Arial Narrow"/>
          <w:sz w:val="22"/>
          <w:szCs w:val="22"/>
        </w:rPr>
        <w:t>, ktoré nastali v dôsledku udalostí po dni, ku</w:t>
      </w:r>
      <w:r>
        <w:rPr>
          <w:rFonts w:ascii="Arial Narrow" w:hAnsi="Arial Narrow" w:cs="Arial Narrow"/>
          <w:sz w:val="22"/>
          <w:szCs w:val="22"/>
        </w:rPr>
        <w:t xml:space="preserve"> ktorému sa zostavuje účtovná závierka do dňa zostavenia účtovnej závierky:</w:t>
      </w:r>
    </w:p>
    <w:p w:rsidR="00BD3A5E" w:rsidRDefault="00BD3A5E">
      <w:pPr>
        <w:jc w:val="both"/>
        <w:rPr>
          <w:rFonts w:ascii="Arial Narrow" w:hAnsi="Arial Narrow" w:cs="Arial Narrow"/>
          <w:sz w:val="22"/>
          <w:szCs w:val="22"/>
        </w:rPr>
      </w:pPr>
    </w:p>
    <w:p w:rsidR="00BD3A5E" w:rsidRDefault="00912AA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BD3A5E" w:rsidRDefault="00BD3A5E">
      <w:pPr>
        <w:jc w:val="both"/>
        <w:rPr>
          <w:rFonts w:ascii="Arial Narrow" w:hAnsi="Arial Narrow" w:cs="Arial Narrow"/>
          <w:sz w:val="22"/>
          <w:szCs w:val="22"/>
        </w:rPr>
      </w:pPr>
    </w:p>
    <w:p w:rsidR="00BD3A5E" w:rsidRDefault="00912AA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BD3A5E" w:rsidRDefault="00BD3A5E">
      <w:pPr>
        <w:jc w:val="both"/>
        <w:rPr>
          <w:rFonts w:ascii="Arial Narrow" w:hAnsi="Arial Narrow" w:cs="Arial Narrow"/>
          <w:sz w:val="22"/>
          <w:szCs w:val="22"/>
        </w:rPr>
      </w:pPr>
    </w:p>
    <w:p w:rsidR="00BD3A5E" w:rsidRDefault="00912AA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BD3A5E" w:rsidRDefault="00BD3A5E">
      <w:pPr>
        <w:jc w:val="both"/>
        <w:rPr>
          <w:rFonts w:ascii="Arial Narrow" w:hAnsi="Arial Narrow" w:cs="Arial Narrow"/>
          <w:sz w:val="22"/>
          <w:szCs w:val="22"/>
        </w:rPr>
      </w:pPr>
    </w:p>
    <w:p w:rsidR="00BD3A5E" w:rsidRDefault="00912AA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 Zača</w:t>
      </w:r>
      <w:r>
        <w:rPr>
          <w:rFonts w:ascii="Arial Narrow" w:hAnsi="Arial Narrow" w:cs="Arial Narrow"/>
          <w:sz w:val="22"/>
          <w:szCs w:val="22"/>
        </w:rPr>
        <w:t xml:space="preserve">tie alebo ukončenie činnosti časti účtovnej jednotky, napríklad odštepného závodu, organizačnej zložky, prevádzkarne: </w:t>
      </w:r>
    </w:p>
    <w:p w:rsidR="00BD3A5E" w:rsidRDefault="00BD3A5E">
      <w:pPr>
        <w:jc w:val="both"/>
        <w:rPr>
          <w:rFonts w:ascii="Arial Narrow" w:hAnsi="Arial Narrow" w:cs="Arial Narrow"/>
          <w:sz w:val="22"/>
          <w:szCs w:val="22"/>
        </w:rPr>
      </w:pPr>
    </w:p>
    <w:p w:rsidR="00BD3A5E" w:rsidRDefault="00912AA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BD3A5E" w:rsidRDefault="00BD3A5E">
      <w:pPr>
        <w:jc w:val="both"/>
        <w:rPr>
          <w:rFonts w:ascii="Arial Narrow" w:hAnsi="Arial Narrow" w:cs="Arial Narrow"/>
          <w:sz w:val="22"/>
          <w:szCs w:val="22"/>
        </w:rPr>
      </w:pPr>
    </w:p>
    <w:p w:rsidR="00BD3A5E" w:rsidRDefault="00912AA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BD3A5E" w:rsidRDefault="00BD3A5E">
      <w:pPr>
        <w:jc w:val="both"/>
        <w:rPr>
          <w:rFonts w:ascii="Arial Narrow" w:hAnsi="Arial Narrow" w:cs="Arial Narrow"/>
          <w:sz w:val="22"/>
          <w:szCs w:val="22"/>
        </w:rPr>
      </w:pPr>
    </w:p>
    <w:p w:rsidR="00BD3A5E" w:rsidRDefault="00912AA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i) Mimoriadne ud</w:t>
      </w:r>
      <w:r>
        <w:rPr>
          <w:rFonts w:ascii="Arial Narrow" w:hAnsi="Arial Narrow" w:cs="Arial Narrow"/>
          <w:sz w:val="22"/>
          <w:szCs w:val="22"/>
        </w:rPr>
        <w:t xml:space="preserve">alosti, ak majú vplyv na hospodárenie účtovnej jednotky, napr. živelná pohroma: </w:t>
      </w:r>
    </w:p>
    <w:p w:rsidR="00BD3A5E" w:rsidRDefault="00BD3A5E">
      <w:pPr>
        <w:jc w:val="both"/>
        <w:rPr>
          <w:rFonts w:ascii="Arial Narrow" w:hAnsi="Arial Narrow" w:cs="Arial Narrow"/>
          <w:sz w:val="22"/>
          <w:szCs w:val="22"/>
        </w:rPr>
      </w:pPr>
    </w:p>
    <w:p w:rsidR="00BD3A5E" w:rsidRDefault="00912AA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BD3A5E" w:rsidRDefault="00BD3A5E">
      <w:pPr>
        <w:jc w:val="both"/>
        <w:rPr>
          <w:rFonts w:ascii="Arial Narrow" w:hAnsi="Arial Narrow" w:cs="Arial Narrow"/>
          <w:sz w:val="22"/>
          <w:szCs w:val="22"/>
        </w:rPr>
      </w:pPr>
    </w:p>
    <w:p w:rsidR="00BD3A5E" w:rsidRDefault="00912AA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</w:t>
      </w:r>
      <w:r>
        <w:rPr>
          <w:rFonts w:ascii="Arial Narrow" w:hAnsi="Arial Narrow" w:cs="Arial Narrow"/>
          <w:sz w:val="22"/>
          <w:szCs w:val="22"/>
        </w:rPr>
        <w:t xml:space="preserve">erkovom dni do dňa podpísania výkazov – uvádza sa v poznámkach. </w:t>
      </w:r>
      <w:r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</w:t>
      </w:r>
      <w:r>
        <w:rPr>
          <w:rFonts w:ascii="Arial Narrow" w:hAnsi="Arial Narrow" w:cs="Arial Narrow"/>
          <w:sz w:val="22"/>
          <w:szCs w:val="22"/>
        </w:rPr>
        <w:t>§ 2a; § 18/9; § 19/6; § 48/3; § 50/6 PU).]</w:t>
      </w:r>
    </w:p>
    <w:p w:rsidR="00BD3A5E" w:rsidRDefault="00BD3A5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D3A5E" w:rsidRDefault="00BD3A5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D3A5E" w:rsidRDefault="00912AA4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BD3A5E" w:rsidRDefault="00BD3A5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D3A5E" w:rsidRDefault="00912AA4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</w:t>
      </w:r>
    </w:p>
    <w:p w:rsidR="00BD3A5E" w:rsidRDefault="00912AA4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:rsidR="00BD3A5E" w:rsidRDefault="00912AA4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</w:t>
      </w:r>
      <w:r>
        <w:rPr>
          <w:rFonts w:ascii="Arial Narrow" w:hAnsi="Arial Narrow" w:cs="Arial Narrow"/>
          <w:bCs/>
          <w:sz w:val="22"/>
          <w:szCs w:val="22"/>
        </w:rPr>
        <w:t>s orgánmi verejnej moci (§ 23d/6 ZoU):</w:t>
      </w:r>
    </w:p>
    <w:sectPr w:rsidR="00BD3A5E">
      <w:headerReference w:type="default" r:id="rId8"/>
      <w:footerReference w:type="default" r:id="rId9"/>
      <w:headerReference w:type="first" r:id="rId10"/>
      <w:pgSz w:w="11907" w:h="16840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0000" w:rsidRDefault="00912AA4">
      <w:r>
        <w:separator/>
      </w:r>
    </w:p>
  </w:endnote>
  <w:endnote w:type="continuationSeparator" w:id="0">
    <w:p w:rsidR="00000000" w:rsidRDefault="00912A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D3A5E" w:rsidRDefault="00912AA4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4</w:t>
    </w:r>
    <w:r>
      <w:fldChar w:fldCharType="end"/>
    </w:r>
  </w:p>
  <w:p w:rsidR="00BD3A5E" w:rsidRDefault="00BD3A5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0000" w:rsidRDefault="00912AA4">
      <w:r>
        <w:separator/>
      </w:r>
    </w:p>
  </w:footnote>
  <w:footnote w:type="continuationSeparator" w:id="0">
    <w:p w:rsidR="00000000" w:rsidRDefault="00912AA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D3A5E" w:rsidRDefault="00912AA4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>
      <w:rPr>
        <w:rFonts w:ascii="Arial" w:hAnsi="Arial" w:cs="Arial"/>
        <w:sz w:val="22"/>
        <w:szCs w:val="22"/>
        <w:bdr w:val="single" w:sz="4" w:space="0" w:color="auto"/>
        <w:lang w:val="sk-SK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  <w:lang w:val="sk-SK"/>
      </w:rPr>
      <w:t>z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  <w:lang w:val="sk-SK"/>
      </w:rPr>
      <w:t>á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  <w:lang w:val="sk-SK"/>
      </w:rPr>
      <w:t>k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  <w:lang w:val="sk-SK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  <w:lang w:val="sk-SK"/>
      </w:rPr>
      <w:t>Ú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35958979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>Č: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2022082700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BD3A5E" w:rsidRDefault="00BD3A5E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BD3A5E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BD3A5E" w:rsidRDefault="00912AA4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BD3A5E" w:rsidRDefault="00BD3A5E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BD3A5E" w:rsidRDefault="00912AA4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D3A5E" w:rsidRDefault="00912AA4">
          <w:pPr>
            <w:jc w:val="center"/>
            <w:rPr>
              <w:szCs w:val="22"/>
            </w:rPr>
          </w:pPr>
          <w:r>
            <w:rPr>
              <w:szCs w:val="22"/>
            </w:rPr>
            <w:t> 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D3A5E" w:rsidRDefault="00912AA4">
          <w:pPr>
            <w:jc w:val="center"/>
            <w:rPr>
              <w:szCs w:val="22"/>
            </w:rPr>
          </w:pPr>
          <w:r>
            <w:rPr>
              <w:szCs w:val="22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D3A5E" w:rsidRDefault="00912AA4">
          <w:pPr>
            <w:jc w:val="center"/>
            <w:rPr>
              <w:szCs w:val="22"/>
            </w:rPr>
          </w:pPr>
          <w:r>
            <w:rPr>
              <w:szCs w:val="22"/>
            </w:rPr>
            <w:t>3 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D3A5E" w:rsidRDefault="00912AA4">
          <w:pPr>
            <w:jc w:val="center"/>
            <w:rPr>
              <w:szCs w:val="22"/>
            </w:rPr>
          </w:pPr>
          <w:r>
            <w:rPr>
              <w:szCs w:val="22"/>
            </w:rPr>
            <w:t>4 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D3A5E" w:rsidRDefault="00912AA4">
          <w:pPr>
            <w:jc w:val="center"/>
            <w:rPr>
              <w:szCs w:val="22"/>
            </w:rPr>
          </w:pPr>
          <w:r>
            <w:rPr>
              <w:szCs w:val="22"/>
            </w:rPr>
            <w:t>5 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D3A5E" w:rsidRDefault="00912AA4">
          <w:pPr>
            <w:jc w:val="center"/>
            <w:rPr>
              <w:szCs w:val="22"/>
            </w:rPr>
          </w:pPr>
          <w:r>
            <w:rPr>
              <w:szCs w:val="22"/>
            </w:rPr>
            <w:t>6 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D3A5E" w:rsidRDefault="00912AA4">
          <w:pPr>
            <w:jc w:val="center"/>
            <w:rPr>
              <w:szCs w:val="22"/>
            </w:rPr>
          </w:pPr>
          <w:r>
            <w:rPr>
              <w:szCs w:val="22"/>
            </w:rPr>
            <w:t>7 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D3A5E" w:rsidRDefault="00912AA4">
          <w:pPr>
            <w:jc w:val="center"/>
            <w:rPr>
              <w:szCs w:val="22"/>
            </w:rPr>
          </w:pPr>
          <w:r>
            <w:rPr>
              <w:szCs w:val="22"/>
            </w:rPr>
            <w:t>8 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D3A5E" w:rsidRDefault="00912AA4">
          <w:pPr>
            <w:jc w:val="center"/>
            <w:rPr>
              <w:szCs w:val="22"/>
            </w:rPr>
          </w:pPr>
          <w:r>
            <w:rPr>
              <w:szCs w:val="22"/>
            </w:rPr>
            <w:t>9 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D3A5E" w:rsidRDefault="00912AA4">
          <w:pPr>
            <w:jc w:val="center"/>
            <w:rPr>
              <w:szCs w:val="22"/>
            </w:rPr>
          </w:pPr>
          <w:r>
            <w:rPr>
              <w:szCs w:val="22"/>
            </w:rPr>
            <w:t>0 </w:t>
          </w:r>
        </w:p>
      </w:tc>
    </w:tr>
  </w:tbl>
  <w:p w:rsidR="00BD3A5E" w:rsidRDefault="00BD3A5E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597DE9"/>
    <w:multiLevelType w:val="multilevel"/>
    <w:tmpl w:val="1E597DE9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6891FC1"/>
    <w:multiLevelType w:val="multilevel"/>
    <w:tmpl w:val="26891FC1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41C61CFE"/>
    <w:multiLevelType w:val="multilevel"/>
    <w:tmpl w:val="41C61CFE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5D6540DA"/>
    <w:multiLevelType w:val="multilevel"/>
    <w:tmpl w:val="5D6540DA"/>
    <w:lvl w:ilvl="0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7487002"/>
    <w:multiLevelType w:val="multilevel"/>
    <w:tmpl w:val="67487002"/>
    <w:lvl w:ilvl="0">
      <w:start w:val="1"/>
      <w:numFmt w:val="decimal"/>
      <w:pStyle w:val="Nadpis1"/>
      <w:lvlText w:val="§ %1"/>
      <w:lvlJc w:val="center"/>
      <w:pPr>
        <w:tabs>
          <w:tab w:val="left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(%7)"/>
      <w:lvlJc w:val="left"/>
      <w:pPr>
        <w:tabs>
          <w:tab w:val="left" w:pos="5070"/>
        </w:tabs>
        <w:ind w:left="5070" w:hanging="39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</w:lvl>
  </w:abstractNum>
  <w:abstractNum w:abstractNumId="5" w15:restartNumberingAfterBreak="0">
    <w:nsid w:val="6DE666C6"/>
    <w:multiLevelType w:val="multilevel"/>
    <w:tmpl w:val="6DE666C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4"/>
  </w:num>
  <w:num w:numId="2">
    <w:abstractNumId w:val="3"/>
  </w:num>
  <w:num w:numId="3">
    <w:abstractNumId w:val="1"/>
  </w:num>
  <w:num w:numId="4">
    <w:abstractNumId w:val="0"/>
  </w:num>
  <w:num w:numId="5">
    <w:abstractNumId w:val="2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47531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37771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762FA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1D9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5307"/>
    <w:rsid w:val="003773CD"/>
    <w:rsid w:val="0038045E"/>
    <w:rsid w:val="00391830"/>
    <w:rsid w:val="00391A1E"/>
    <w:rsid w:val="00394749"/>
    <w:rsid w:val="00396C6C"/>
    <w:rsid w:val="003974CA"/>
    <w:rsid w:val="003A097A"/>
    <w:rsid w:val="003A15E2"/>
    <w:rsid w:val="003A351E"/>
    <w:rsid w:val="003A6346"/>
    <w:rsid w:val="003B22E0"/>
    <w:rsid w:val="003B62BD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E758C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9746F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5426D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660A"/>
    <w:rsid w:val="006B69FE"/>
    <w:rsid w:val="006C018F"/>
    <w:rsid w:val="006C1F64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4743"/>
    <w:rsid w:val="0076539B"/>
    <w:rsid w:val="007708C6"/>
    <w:rsid w:val="00771D0D"/>
    <w:rsid w:val="007728FB"/>
    <w:rsid w:val="007753B9"/>
    <w:rsid w:val="00776640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4771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893"/>
    <w:rsid w:val="00857F33"/>
    <w:rsid w:val="00861401"/>
    <w:rsid w:val="00861803"/>
    <w:rsid w:val="00867392"/>
    <w:rsid w:val="0087132B"/>
    <w:rsid w:val="008729F3"/>
    <w:rsid w:val="0087663A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2A70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2AA4"/>
    <w:rsid w:val="00925C6F"/>
    <w:rsid w:val="009263AC"/>
    <w:rsid w:val="0093419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B23B0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0717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2ED8"/>
    <w:rsid w:val="00AF51AA"/>
    <w:rsid w:val="00AF6469"/>
    <w:rsid w:val="00B00ECD"/>
    <w:rsid w:val="00B05037"/>
    <w:rsid w:val="00B07F5C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6689"/>
    <w:rsid w:val="00B87E21"/>
    <w:rsid w:val="00B9102F"/>
    <w:rsid w:val="00B93686"/>
    <w:rsid w:val="00BA12FE"/>
    <w:rsid w:val="00BA43D8"/>
    <w:rsid w:val="00BA5618"/>
    <w:rsid w:val="00BB14A1"/>
    <w:rsid w:val="00BB22F0"/>
    <w:rsid w:val="00BC3432"/>
    <w:rsid w:val="00BC3D4A"/>
    <w:rsid w:val="00BC7121"/>
    <w:rsid w:val="00BD2F98"/>
    <w:rsid w:val="00BD3A5E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276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34A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5724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  <w:rsid w:val="093D7F5E"/>
    <w:rsid w:val="16B17E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5:docId w15:val="{452AF9D9-C71F-44DD-A0EE-9CD6DA3E76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/>
    <w:lsdException w:name="annotation text" w:semiHidden="1" w:unhideWhenUsed="1"/>
    <w:lsdException w:name="header" w:qFormat="1"/>
    <w:lsdException w:name="footer" w:uiPriority="99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/>
    <w:lsdException w:name="annotation reference" w:semiHidden="1" w:unhideWhenUsed="1"/>
    <w:lsdException w:name="lin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Grid" w:semiHidden="1" w:uiPriority="59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zh-CN" w:eastAsia="zh-C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qFormat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link w:val="ZkladntextChar"/>
    <w:uiPriority w:val="1"/>
    <w:unhideWhenUsed/>
    <w:qFormat/>
    <w:pPr>
      <w:widowControl w:val="0"/>
      <w:ind w:left="668" w:hanging="567"/>
    </w:pPr>
    <w:rPr>
      <w:lang w:val="en-US" w:eastAsia="en-US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  <w:rPr>
      <w:lang w:val="zh-CN" w:eastAsia="zh-CN"/>
    </w:rPr>
  </w:style>
  <w:style w:type="character" w:styleId="Odkaznapoznmkupodiarou">
    <w:name w:val="footnote reference"/>
    <w:semiHidden/>
    <w:rPr>
      <w:vertAlign w:val="superscript"/>
    </w:rPr>
  </w:style>
  <w:style w:type="paragraph" w:styleId="Textpoznmkypodiarou">
    <w:name w:val="footnote text"/>
    <w:basedOn w:val="Normlny"/>
    <w:link w:val="TextpoznmkypodiarouChar"/>
    <w:semiHidden/>
    <w:rPr>
      <w:sz w:val="20"/>
      <w:szCs w:val="20"/>
      <w:lang w:val="zh-CN" w:eastAsia="zh-CN"/>
    </w:rPr>
  </w:style>
  <w:style w:type="paragraph" w:styleId="Hlavika">
    <w:name w:val="header"/>
    <w:basedOn w:val="Normlny"/>
    <w:link w:val="HlavikaChar"/>
    <w:qFormat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</w:style>
  <w:style w:type="table" w:styleId="Mriekatabuky">
    <w:name w:val="Table Grid"/>
    <w:basedOn w:val="Normlnatabuka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zh-CN"/>
    </w:rPr>
  </w:style>
  <w:style w:type="character" w:customStyle="1" w:styleId="Nadpis1Char">
    <w:name w:val="Nadpis 1 Char"/>
    <w:link w:val="Nadpis1"/>
    <w:qFormat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qFormat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0">
    <w:name w:val="Základní text"/>
    <w:qFormat/>
    <w:pPr>
      <w:spacing w:after="240"/>
      <w:jc w:val="both"/>
    </w:pPr>
    <w:rPr>
      <w:color w:val="000000"/>
      <w:sz w:val="24"/>
      <w:szCs w:val="24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customStyle="1" w:styleId="PtaChar">
    <w:name w:val="Päta Char"/>
    <w:link w:val="Pta"/>
    <w:uiPriority w:val="99"/>
    <w:qFormat/>
    <w:locked/>
    <w:rPr>
      <w:sz w:val="24"/>
      <w:szCs w:val="24"/>
    </w:rPr>
  </w:style>
  <w:style w:type="character" w:customStyle="1" w:styleId="NzovChar">
    <w:name w:val="Názov Char"/>
    <w:link w:val="Nzov"/>
    <w:uiPriority w:val="99"/>
    <w:locked/>
    <w:rPr>
      <w:rFonts w:ascii="Arial Narrow" w:hAnsi="Arial Narrow" w:cs="Arial Narrow"/>
      <w:b/>
      <w:bCs/>
      <w:kern w:val="28"/>
      <w:sz w:val="32"/>
      <w:szCs w:val="32"/>
      <w:lang w:val="sk-SK" w:eastAsia="zh-CN"/>
    </w:r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HlavikaChar">
    <w:name w:val="Hlavička Char"/>
    <w:link w:val="Hlavika"/>
    <w:qFormat/>
    <w:locked/>
    <w:rPr>
      <w:sz w:val="24"/>
      <w:szCs w:val="24"/>
      <w:lang w:val="sk-SK" w:eastAsia="sk-SK"/>
    </w:rPr>
  </w:style>
  <w:style w:type="character" w:customStyle="1" w:styleId="ZkladntextChar">
    <w:name w:val="Základný text Char"/>
    <w:link w:val="Zkladntext"/>
    <w:uiPriority w:val="1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</w:style>
  <w:style w:type="character" w:customStyle="1" w:styleId="TextbublinyChar">
    <w:name w:val="Text bubliny Char"/>
    <w:basedOn w:val="Predvolenpsmoodseku"/>
    <w:link w:val="Textbubliny"/>
    <w:qFormat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56FD852-A257-4A59-A7F5-60256EB7BE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2759</Words>
  <Characters>16767</Characters>
  <Application>Microsoft Office Word</Application>
  <DocSecurity>0</DocSecurity>
  <Lines>139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19488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asistent2</cp:lastModifiedBy>
  <cp:revision>2</cp:revision>
  <cp:lastPrinted>2024-02-28T08:30:00Z</cp:lastPrinted>
  <dcterms:created xsi:type="dcterms:W3CDTF">2024-02-28T08:30:00Z</dcterms:created>
  <dcterms:modified xsi:type="dcterms:W3CDTF">2024-02-28T08:30:00Z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1033-11.2.0.11486</vt:lpwstr>
  </property>
  <property fmtid="{D5CDD505-2E9C-101B-9397-08002B2CF9AE}" pid="3" name="ICV">
    <vt:lpwstr>CDF2108F7D6F464D93388C0E03504FF8</vt:lpwstr>
  </property>
</Properties>
</file>