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</w:t>
      </w:r>
      <w:r>
        <w:rPr>
          <w:rFonts w:ascii="Arial Narrow" w:hAnsi="Arial Narrow"/>
          <w:b/>
        </w:rPr>
        <w:t>023</w:t>
      </w:r>
    </w:p>
    <w:p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0775D" w:rsidRDefault="00C3792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0775D" w:rsidRDefault="00C0775D">
      <w:pPr>
        <w:rPr>
          <w:rFonts w:ascii="Arial Narrow" w:hAnsi="Arial Narrow"/>
          <w:sz w:val="22"/>
          <w:szCs w:val="22"/>
        </w:rPr>
      </w:pPr>
    </w:p>
    <w:p w:rsidR="00C0775D" w:rsidRDefault="00C37926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0775D" w:rsidRDefault="00C0775D">
      <w:pPr>
        <w:rPr>
          <w:rFonts w:ascii="Arial Narrow" w:hAnsi="Arial Narrow"/>
          <w:sz w:val="22"/>
          <w:szCs w:val="22"/>
        </w:rPr>
      </w:pPr>
    </w:p>
    <w:p w:rsidR="00C0775D" w:rsidRDefault="00C37926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0775D" w:rsidRDefault="00C0775D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C0775D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SALUBRITER s.r.o.</w:t>
            </w:r>
          </w:p>
        </w:tc>
      </w:tr>
      <w:tr w:rsidR="00C0775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Ul. 29 Augusta 2B, 811 07  Bratislava</w:t>
            </w:r>
          </w:p>
        </w:tc>
      </w:tr>
      <w:tr w:rsidR="00C0775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0775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</w:t>
            </w:r>
            <w:r>
              <w:rPr>
                <w:rFonts w:ascii="Arial Narrow" w:hAnsi="Arial Narrow" w:cs="Arial Narrow"/>
                <w:sz w:val="22"/>
                <w:szCs w:val="22"/>
              </w:rPr>
              <w:t>registra: 11.04.2008</w:t>
            </w:r>
          </w:p>
        </w:tc>
      </w:tr>
      <w:tr w:rsidR="00C0775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Administratívne práce</w:t>
            </w:r>
          </w:p>
        </w:tc>
      </w:tr>
      <w:tr w:rsidR="00C0775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0775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0775D" w:rsidRDefault="00C37926" w:rsidP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0775D" w:rsidRDefault="00C3792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0775D">
        <w:tc>
          <w:tcPr>
            <w:tcW w:w="2197" w:type="dxa"/>
            <w:shd w:val="clear" w:color="auto" w:fill="auto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37926">
        <w:tc>
          <w:tcPr>
            <w:tcW w:w="2197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36 236</w:t>
            </w:r>
          </w:p>
        </w:tc>
        <w:tc>
          <w:tcPr>
            <w:tcW w:w="3260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41 626</w:t>
            </w:r>
          </w:p>
        </w:tc>
        <w:tc>
          <w:tcPr>
            <w:tcW w:w="1276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37926">
        <w:tc>
          <w:tcPr>
            <w:tcW w:w="2197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14 917</w:t>
            </w:r>
          </w:p>
        </w:tc>
        <w:tc>
          <w:tcPr>
            <w:tcW w:w="3260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2 583</w:t>
            </w:r>
          </w:p>
        </w:tc>
        <w:tc>
          <w:tcPr>
            <w:tcW w:w="1276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37926">
        <w:tc>
          <w:tcPr>
            <w:tcW w:w="2197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37926" w:rsidRDefault="00C37926" w:rsidP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37926" w:rsidRDefault="00C37926" w:rsidP="00C3792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C0775D" w:rsidRDefault="00C0775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0775D" w:rsidRDefault="00C0775D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za predchádzajúce účtovné obdobie bola schválená valným zhromaždením dňa 27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.02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0775D" w:rsidRDefault="00C379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r>
        <w:rPr>
          <w:rFonts w:ascii="Arial Narrow" w:hAnsi="Arial Narrow" w:cs="Arial Narrow"/>
          <w:b/>
          <w:bCs/>
          <w:sz w:val="22"/>
          <w:szCs w:val="22"/>
        </w:rPr>
        <w:t>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C0775D" w:rsidRDefault="00C0775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C0775D">
        <w:trPr>
          <w:trHeight w:val="537"/>
        </w:trPr>
        <w:tc>
          <w:tcPr>
            <w:tcW w:w="2492" w:type="pct"/>
            <w:vAlign w:val="center"/>
          </w:tcPr>
          <w:p w:rsidR="00C0775D" w:rsidRDefault="00C37926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0775D" w:rsidRDefault="00C3792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C0775D">
        <w:trPr>
          <w:trHeight w:val="163"/>
        </w:trPr>
        <w:tc>
          <w:tcPr>
            <w:tcW w:w="2492" w:type="pct"/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C0775D" w:rsidRDefault="00C379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C0775D" w:rsidRDefault="00C0775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C0775D" w:rsidRDefault="00C077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</w:t>
      </w:r>
      <w:r>
        <w:rPr>
          <w:rFonts w:ascii="Arial Narrow" w:hAnsi="Arial Narrow" w:cs="Arial Narrow"/>
          <w:bCs/>
          <w:sz w:val="22"/>
          <w:szCs w:val="22"/>
        </w:rPr>
        <w:t>o podmienkach a výške iných zabezpečení: žiadne</w:t>
      </w:r>
    </w:p>
    <w:p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C0775D" w:rsidRDefault="00C37926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C0775D" w:rsidRDefault="00C0775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0775D" w:rsidRDefault="00C0775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0775D" w:rsidRDefault="00C077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C0775D" w:rsidRDefault="00C0775D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C0775D" w:rsidRDefault="00C077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C0775D" w:rsidRDefault="00C379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0775D" w:rsidRDefault="00C077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0775D">
        <w:tc>
          <w:tcPr>
            <w:tcW w:w="706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Prenajatý </w:t>
            </w:r>
            <w:r>
              <w:rPr>
                <w:rFonts w:ascii="Arial Narrow" w:hAnsi="Arial Narrow" w:cs="Arial"/>
                <w:sz w:val="22"/>
                <w:szCs w:val="22"/>
              </w:rPr>
              <w:t>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0775D">
        <w:tc>
          <w:tcPr>
            <w:tcW w:w="706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C0775D" w:rsidRDefault="00C379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0775D" w:rsidRDefault="00C37926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</w:t>
      </w:r>
      <w:r>
        <w:rPr>
          <w:rFonts w:ascii="Arial Narrow" w:hAnsi="Arial Narrow" w:cs="Arial Narrow"/>
          <w:sz w:val="22"/>
          <w:szCs w:val="22"/>
        </w:rPr>
        <w:t>äzkov.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</w:t>
      </w:r>
      <w:r>
        <w:rPr>
          <w:rFonts w:ascii="Arial Narrow" w:hAnsi="Arial Narrow" w:cs="Arial Narrow"/>
          <w:sz w:val="22"/>
          <w:szCs w:val="22"/>
        </w:rPr>
        <w:t>5/5 ZoU; § 22/1 PU).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C0775D" w:rsidRDefault="00C37926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</w:t>
      </w:r>
      <w:r>
        <w:rPr>
          <w:rFonts w:ascii="Arial Narrow" w:hAnsi="Arial Narrow" w:cs="Arial Narrow"/>
          <w:sz w:val="22"/>
          <w:szCs w:val="22"/>
        </w:rPr>
        <w:t>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0775D" w:rsidRDefault="00C0775D"/>
    <w:p w:rsidR="00C0775D" w:rsidRDefault="00C37926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C0775D">
        <w:tc>
          <w:tcPr>
            <w:tcW w:w="421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0775D" w:rsidRDefault="00C37926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0775D">
        <w:tc>
          <w:tcPr>
            <w:tcW w:w="4218" w:type="dxa"/>
          </w:tcPr>
          <w:p w:rsidR="00C0775D" w:rsidRDefault="00C3792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C0775D" w:rsidRDefault="00C3792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C0775D" w:rsidRDefault="00C37926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0775D" w:rsidRDefault="00C0775D">
      <w:pPr>
        <w:jc w:val="both"/>
        <w:rPr>
          <w:rFonts w:ascii="Arial Narrow" w:hAnsi="Arial Narrow" w:cs="Arial"/>
          <w:sz w:val="22"/>
          <w:szCs w:val="22"/>
        </w:rPr>
      </w:pPr>
    </w:p>
    <w:p w:rsidR="00C0775D" w:rsidRDefault="00C0775D">
      <w:pPr>
        <w:jc w:val="both"/>
        <w:rPr>
          <w:rFonts w:ascii="Arial Narrow" w:hAnsi="Arial Narrow" w:cs="Arial"/>
          <w:sz w:val="22"/>
          <w:szCs w:val="22"/>
        </w:rPr>
      </w:pPr>
    </w:p>
    <w:p w:rsidR="00C0775D" w:rsidRDefault="00C37926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</w:t>
      </w:r>
      <w:r>
        <w:rPr>
          <w:rFonts w:ascii="Arial Narrow" w:hAnsi="Arial Narrow" w:cs="Arial"/>
          <w:sz w:val="22"/>
          <w:szCs w:val="22"/>
        </w:rPr>
        <w:t xml:space="preserve">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</w:t>
      </w:r>
      <w:r>
        <w:rPr>
          <w:rFonts w:ascii="Arial Narrow" w:hAnsi="Arial Narrow" w:cs="Arial"/>
          <w:sz w:val="22"/>
          <w:szCs w:val="22"/>
          <w:u w:val="single"/>
        </w:rPr>
        <w:t>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</w:t>
      </w:r>
      <w:r>
        <w:rPr>
          <w:rFonts w:ascii="Arial Narrow" w:hAnsi="Arial Narrow" w:cs="Arial Narrow"/>
          <w:sz w:val="22"/>
          <w:szCs w:val="22"/>
        </w:rPr>
        <w:t xml:space="preserve"> PU).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C0775D" w:rsidRDefault="00C37926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</w:t>
      </w:r>
      <w:r>
        <w:rPr>
          <w:rFonts w:ascii="Arial Narrow" w:hAnsi="Arial Narrow" w:cs="Arial Narrow"/>
          <w:sz w:val="22"/>
          <w:szCs w:val="22"/>
        </w:rPr>
        <w:t>U; § 29/2 ZDP).</w:t>
      </w:r>
    </w:p>
    <w:p w:rsidR="00C0775D" w:rsidRDefault="00C37926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C0775D" w:rsidRDefault="00C0775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C0775D" w:rsidRDefault="00C0775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0775D" w:rsidRDefault="00C37926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C0775D">
        <w:tc>
          <w:tcPr>
            <w:tcW w:w="1601" w:type="pct"/>
            <w:shd w:val="clear" w:color="auto" w:fill="auto"/>
          </w:tcPr>
          <w:p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vného prípadu</w:t>
            </w:r>
          </w:p>
        </w:tc>
        <w:tc>
          <w:tcPr>
            <w:tcW w:w="541" w:type="pct"/>
            <w:shd w:val="clear" w:color="auto" w:fill="auto"/>
          </w:tcPr>
          <w:p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C0775D" w:rsidRDefault="00C37926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C0775D">
        <w:tc>
          <w:tcPr>
            <w:tcW w:w="160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0775D">
        <w:tc>
          <w:tcPr>
            <w:tcW w:w="160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C0775D" w:rsidRDefault="00C0775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C0775D">
        <w:trPr>
          <w:trHeight w:val="693"/>
          <w:jc w:val="center"/>
        </w:trPr>
        <w:tc>
          <w:tcPr>
            <w:tcW w:w="2463" w:type="pct"/>
            <w:vAlign w:val="center"/>
          </w:tcPr>
          <w:p w:rsidR="00C0775D" w:rsidRDefault="00C37926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C0775D" w:rsidRDefault="00C37926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C0775D" w:rsidRDefault="00C37926">
            <w:pPr>
              <w:pStyle w:val="TopHeader"/>
            </w:pPr>
            <w:r>
              <w:t>Bezprostredne predchádzajúce účtovné obdobie</w:t>
            </w:r>
          </w:p>
        </w:tc>
      </w:tr>
      <w:tr w:rsidR="00C0775D">
        <w:trPr>
          <w:trHeight w:val="207"/>
          <w:jc w:val="center"/>
        </w:trPr>
        <w:tc>
          <w:tcPr>
            <w:tcW w:w="2463" w:type="pct"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C0775D" w:rsidRDefault="00C077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0775D" w:rsidRDefault="00C3792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závierkovým dňom (§ 12 PU).]</w:t>
      </w:r>
    </w:p>
    <w:p w:rsidR="00C0775D" w:rsidRDefault="00C0775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0775D" w:rsidRDefault="00C0775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0775D" w:rsidRDefault="00C37926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0775D" w:rsidRDefault="00C37926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</w:t>
      </w:r>
      <w:r>
        <w:rPr>
          <w:rFonts w:ascii="Arial Narrow" w:hAnsi="Arial Narrow" w:cs="Arial Narrow"/>
          <w:sz w:val="22"/>
          <w:szCs w:val="22"/>
        </w:rPr>
        <w:t>zákonná povinnosť alebo zmluvná povinnosť odobrať určité množstvo produktu, uskutočniť investície a veľké opravy: žiadne</w:t>
      </w:r>
    </w:p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C0775D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pStyle w:val="TopHeader"/>
            </w:pPr>
            <w:r>
              <w:t xml:space="preserve">Názov podsúvahovej </w:t>
            </w:r>
            <w:r>
              <w:t>položky</w:t>
            </w:r>
          </w:p>
        </w:tc>
        <w:tc>
          <w:tcPr>
            <w:tcW w:w="1701" w:type="dxa"/>
            <w:noWrap/>
            <w:vAlign w:val="center"/>
          </w:tcPr>
          <w:p w:rsidR="00C0775D" w:rsidRDefault="00C37926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C0775D" w:rsidRDefault="00C37926">
            <w:pPr>
              <w:pStyle w:val="TopHeader"/>
            </w:pPr>
            <w:r>
              <w:t>Bezprostredne predchádzajúce účtovné obdobie</w:t>
            </w:r>
          </w:p>
        </w:tc>
      </w:tr>
      <w:tr w:rsidR="00C0775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0775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0775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0775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0775D" w:rsidRDefault="00C3792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0775D" w:rsidRDefault="00C0775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KTORÉ NASTALI PO ZÁVIERKOVOM DNI</w:t>
      </w:r>
    </w:p>
    <w:p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zostavenia účtovnej závierky nastali významné udalosti, ktoré by mali významný finančný vplyv (t.j. do dňa podpísania </w:t>
      </w:r>
      <w:r>
        <w:rPr>
          <w:rFonts w:ascii="Arial Narrow" w:hAnsi="Arial Narrow" w:cs="Arial Narrow"/>
          <w:sz w:val="22"/>
          <w:szCs w:val="22"/>
        </w:rPr>
        <w:t>výkazov podľa § 17/5 ZoU) a ktoré nie sú zohľadnené v súvahe alebo vo výkaze ziskov a strát.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</w:t>
      </w:r>
      <w:r>
        <w:rPr>
          <w:rFonts w:ascii="Arial Narrow" w:hAnsi="Arial Narrow" w:cs="Arial Narrow"/>
          <w:sz w:val="22"/>
          <w:szCs w:val="22"/>
        </w:rPr>
        <w:t>té rozhodnutia o predaji účtovnej jednotky alebo jej časti: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</w:t>
      </w:r>
      <w:r>
        <w:rPr>
          <w:rFonts w:ascii="Arial Narrow" w:hAnsi="Arial Narrow" w:cs="Arial Narrow"/>
          <w:sz w:val="22"/>
          <w:szCs w:val="22"/>
        </w:rPr>
        <w:t xml:space="preserve">dlhopisy a iné cenné papiere: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C0775D" w:rsidRDefault="00C3792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</w:t>
      </w:r>
      <w:r>
        <w:rPr>
          <w:rFonts w:ascii="Arial Narrow" w:hAnsi="Arial Narrow" w:cs="Arial Narrow"/>
          <w:sz w:val="22"/>
          <w:szCs w:val="22"/>
        </w:rPr>
        <w:t>volení významných pre činnosť účtovnej jednotky:</w:t>
      </w:r>
    </w:p>
    <w:p w:rsidR="00C0775D" w:rsidRDefault="00C0775D">
      <w:pPr>
        <w:jc w:val="both"/>
        <w:rPr>
          <w:rFonts w:ascii="Arial Narrow" w:hAnsi="Arial Narrow" w:cs="Arial Narrow"/>
          <w:sz w:val="22"/>
          <w:szCs w:val="22"/>
        </w:rPr>
      </w:pPr>
    </w:p>
    <w:p w:rsidR="00C0775D" w:rsidRDefault="00C0775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0775D" w:rsidRDefault="00C0775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C0775D" w:rsidRDefault="00C37926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</w:t>
      </w:r>
      <w:r>
        <w:rPr>
          <w:rFonts w:ascii="Arial Narrow" w:hAnsi="Arial Narrow" w:cs="Arial Narrow"/>
          <w:bCs/>
          <w:sz w:val="22"/>
          <w:szCs w:val="22"/>
        </w:rPr>
        <w:t>ch vzťahoch s orgánmi verejnej moci (§ 23d/6 ZoU): NIE</w:t>
      </w:r>
    </w:p>
    <w:sectPr w:rsidR="00C0775D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37926">
      <w:r>
        <w:separator/>
      </w:r>
    </w:p>
  </w:endnote>
  <w:endnote w:type="continuationSeparator" w:id="0">
    <w:p w:rsidR="00000000" w:rsidRDefault="00C379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75D" w:rsidRDefault="00C3792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0775D" w:rsidRDefault="00C077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37926">
      <w:r>
        <w:separator/>
      </w:r>
    </w:p>
  </w:footnote>
  <w:footnote w:type="continuationSeparator" w:id="0">
    <w:p w:rsidR="00000000" w:rsidRDefault="00C379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775D" w:rsidRDefault="00C379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44067577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2022663412</w:t>
    </w:r>
  </w:p>
  <w:p w:rsidR="00C0775D" w:rsidRDefault="00C0775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0775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0775D" w:rsidRDefault="00C3792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0775D" w:rsidRDefault="00C0775D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0775D" w:rsidRDefault="00C3792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0775D" w:rsidRDefault="00C37926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C0775D" w:rsidRDefault="00C077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24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E50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3E4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05F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F4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C1A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27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6ED9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2AB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5D"/>
    <w:rsid w:val="00C07A86"/>
    <w:rsid w:val="00C15E63"/>
    <w:rsid w:val="00C16273"/>
    <w:rsid w:val="00C252C9"/>
    <w:rsid w:val="00C27218"/>
    <w:rsid w:val="00C31D64"/>
    <w:rsid w:val="00C36A24"/>
    <w:rsid w:val="00C37926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832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E627B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64A80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DBE93CF-F2BF-4AB3-83AB-BF0FDFE73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FFFE97-888A-411F-9905-08612730A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1633</Words>
  <Characters>10111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2024-03-13T12:53:00Z</cp:lastPrinted>
  <dcterms:created xsi:type="dcterms:W3CDTF">2024-03-13T12:53:00Z</dcterms:created>
  <dcterms:modified xsi:type="dcterms:W3CDTF">2024-03-13T12:53:00Z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4BAF39C953EE41679CB899C38C9867A0</vt:lpwstr>
  </property>
</Properties>
</file>