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61"/>
        <w:gridCol w:w="29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</w:tblGrid>
      <w:tr w:rsidR="00274C17" w:rsidTr="00274C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74C17" w:rsidRDefault="00274C17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Poznámky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MÚJ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74C17" w:rsidRDefault="00274C17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  <w:tc>
          <w:tcPr>
            <w:tcW w:w="420" w:type="dxa"/>
            <w:noWrap/>
            <w:vAlign w:val="bottom"/>
            <w:hideMark/>
          </w:tcPr>
          <w:p w:rsidR="00274C17" w:rsidRDefault="00274C17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 w:rsidP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274C17" w:rsidTr="00274C1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74C17" w:rsidRDefault="00274C17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31.12.2023</w:t>
            </w:r>
          </w:p>
        </w:tc>
        <w:tc>
          <w:tcPr>
            <w:tcW w:w="2260" w:type="dxa"/>
            <w:noWrap/>
            <w:vAlign w:val="bottom"/>
            <w:hideMark/>
          </w:tcPr>
          <w:p w:rsidR="00274C17" w:rsidRDefault="00274C17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  <w:tc>
          <w:tcPr>
            <w:tcW w:w="420" w:type="dxa"/>
            <w:noWrap/>
            <w:vAlign w:val="bottom"/>
            <w:hideMark/>
          </w:tcPr>
          <w:p w:rsidR="00274C17" w:rsidRDefault="00274C17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 w:rsidP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 w:rsidP="00274C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4C17" w:rsidRDefault="00274C17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</w:tr>
    </w:tbl>
    <w:p w:rsidR="00274C17" w:rsidRDefault="00274C17" w:rsidP="00274C17">
      <w:pPr>
        <w:pStyle w:val="Hlavika"/>
      </w:pPr>
      <w:r>
        <w:t xml:space="preserve">                                                                                   </w:t>
      </w: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274C17" w:rsidRPr="00295E93" w:rsidTr="000F264C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74C17" w:rsidRPr="008A4350" w:rsidRDefault="00274C17" w:rsidP="000F264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A4350">
              <w:rPr>
                <w:rFonts w:ascii="Arial Narrow" w:hAnsi="Arial Narrow"/>
                <w:b/>
                <w:sz w:val="22"/>
                <w:szCs w:val="22"/>
              </w:rPr>
              <w:t>Čl. I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 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Všeobecné  údaje</w:t>
            </w:r>
          </w:p>
        </w:tc>
      </w:tr>
      <w:tr w:rsidR="00274C17" w:rsidRPr="002716CB" w:rsidTr="000F264C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C17" w:rsidRPr="002716CB" w:rsidRDefault="00274C17" w:rsidP="000F26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C17" w:rsidRPr="002716CB" w:rsidRDefault="00274C17" w:rsidP="000F26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4C17" w:rsidRPr="002716CB" w:rsidTr="000F26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4C17" w:rsidRPr="002716CB" w:rsidRDefault="00274C17" w:rsidP="000F26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4C17" w:rsidRPr="002716CB" w:rsidRDefault="00274C17" w:rsidP="00274C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MUDr. Jozef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Papranec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274C17" w:rsidRPr="002716CB" w:rsidTr="000F26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4C17" w:rsidRPr="002716CB" w:rsidRDefault="00274C17" w:rsidP="000F26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4C17" w:rsidRPr="002716CB" w:rsidRDefault="00274C17" w:rsidP="00274C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Bojnická cesta 447/43, 971 01 Prievidza</w:t>
            </w:r>
          </w:p>
        </w:tc>
      </w:tr>
    </w:tbl>
    <w:p w:rsidR="00274C17" w:rsidRPr="002716CB" w:rsidRDefault="00274C17" w:rsidP="00274C1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74C17" w:rsidRDefault="00274C17" w:rsidP="00274C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 jednotka nie  je súčasťou v konsolidovanom  celku</w:t>
      </w:r>
    </w:p>
    <w:p w:rsidR="00274C17" w:rsidRDefault="00274C17" w:rsidP="00274C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Priemerný prepočítaný počet zamestnancov: 2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Pr="008A4350" w:rsidRDefault="00274C17" w:rsidP="00274C1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8A4350">
        <w:rPr>
          <w:rFonts w:ascii="Arial Narrow" w:hAnsi="Arial Narrow" w:cs="Arial Narrow"/>
          <w:b/>
          <w:sz w:val="22"/>
          <w:szCs w:val="22"/>
        </w:rPr>
        <w:t>Čl. II</w:t>
      </w:r>
      <w:r>
        <w:rPr>
          <w:rFonts w:ascii="Arial Narrow" w:hAnsi="Arial Narrow" w:cs="Arial Narrow"/>
          <w:b/>
          <w:sz w:val="22"/>
          <w:szCs w:val="22"/>
        </w:rPr>
        <w:t>.</w:t>
      </w:r>
      <w:r w:rsidRPr="008A4350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</w:t>
      </w:r>
      <w:r w:rsidRPr="008A4350">
        <w:rPr>
          <w:rFonts w:ascii="Arial Narrow" w:hAnsi="Arial Narrow" w:cs="Arial Narrow"/>
          <w:b/>
          <w:sz w:val="22"/>
          <w:szCs w:val="22"/>
        </w:rPr>
        <w:t>Informácie o prijatých  postupoch</w:t>
      </w:r>
    </w:p>
    <w:p w:rsidR="00274C17" w:rsidRDefault="00274C17" w:rsidP="00274C1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Ú</w:t>
      </w:r>
      <w:r w:rsidRPr="002716CB">
        <w:rPr>
          <w:rFonts w:ascii="Arial Narrow" w:hAnsi="Arial Narrow" w:cs="Arial Narrow"/>
          <w:sz w:val="22"/>
          <w:szCs w:val="22"/>
        </w:rPr>
        <w:t>čtovn</w:t>
      </w:r>
      <w:r>
        <w:rPr>
          <w:rFonts w:ascii="Arial Narrow" w:hAnsi="Arial Narrow" w:cs="Arial Narrow"/>
          <w:sz w:val="22"/>
          <w:szCs w:val="22"/>
        </w:rPr>
        <w:t xml:space="preserve">á </w:t>
      </w:r>
      <w:r w:rsidRPr="002716CB">
        <w:rPr>
          <w:rFonts w:ascii="Arial Narrow" w:hAnsi="Arial Narrow" w:cs="Arial Narrow"/>
          <w:sz w:val="22"/>
          <w:szCs w:val="22"/>
        </w:rPr>
        <w:t xml:space="preserve"> závierk</w:t>
      </w:r>
      <w:r>
        <w:rPr>
          <w:rFonts w:ascii="Arial Narrow" w:hAnsi="Arial Narrow" w:cs="Arial Narrow"/>
          <w:sz w:val="22"/>
          <w:szCs w:val="22"/>
        </w:rPr>
        <w:t>a je  zostavená za  splnenia  predpokladu, že  bude nepretržite pokračovať  vo  svojej  činnosti.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Spôsob oceňovania jednotlivých položiek  majetku a záväzkov: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a) DNM a DHM v cenách  obstarania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b) zásob v cene  obstarania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c) pohľadávok v menovitej  hodnote  pri  ich  vzniku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d) KFM menovitou  hodnotou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e) záväzky,  pôžičky  a  úvery menovitou  hodnotou  pri ich vzniku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Spôsob zostavenia odpisového  plánu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Druh DM                Doba  odpisovania             Sadzba odpisov             Odpisové  metódy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Zubná súprava            77 mesiacov                       5/77                          rovnomerne</w:t>
      </w:r>
    </w:p>
    <w:p w:rsidR="00274C17" w:rsidRDefault="00274C17" w:rsidP="00274C1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    </w:t>
      </w:r>
      <w:r>
        <w:t xml:space="preserve">   </w:t>
      </w:r>
    </w:p>
    <w:p w:rsidR="00274C17" w:rsidRPr="008A4350" w:rsidRDefault="00274C17" w:rsidP="00274C17">
      <w:pPr>
        <w:rPr>
          <w:rFonts w:ascii="Arial Narrow" w:hAnsi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ÚJ nepoužíva kategóriu drobného dlhodobého nehmotného majetku - položky pod 2 400 eur jednotkovej ceny (§ 13/2 PU). </w:t>
      </w:r>
    </w:p>
    <w:p w:rsidR="00274C17" w:rsidRPr="008A4350" w:rsidRDefault="00274C17" w:rsidP="00274C17">
      <w:pPr>
        <w:rPr>
          <w:rFonts w:ascii="Arial Narrow" w:hAnsi="Arial Narrow" w:cs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ÚJ nepoužíva kategóriu drobného dlhodobého hmotného majetku - položky pod 1 700 eur jednotkovej ceny (§ 13/6 PU).  </w:t>
      </w:r>
    </w:p>
    <w:p w:rsidR="00274C17" w:rsidRPr="008A4350" w:rsidRDefault="00274C17" w:rsidP="00274C17">
      <w:pPr>
        <w:rPr>
          <w:rFonts w:ascii="Arial Narrow" w:hAnsi="Arial Narrow" w:cs="Arial Narrow"/>
          <w:sz w:val="22"/>
          <w:szCs w:val="22"/>
        </w:rPr>
      </w:pPr>
      <w:r w:rsidRPr="008A4350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:rsidR="00274C17" w:rsidRDefault="00274C17" w:rsidP="00274C17">
      <w:pPr>
        <w:rPr>
          <w:rFonts w:ascii="Arial Narrow" w:hAnsi="Arial Narrow" w:cs="Arial Narrow"/>
          <w:sz w:val="22"/>
          <w:szCs w:val="22"/>
        </w:rPr>
      </w:pPr>
      <w:r w:rsidRPr="008A4350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274C17" w:rsidRPr="008A4350" w:rsidRDefault="00274C17" w:rsidP="00274C17">
      <w:pPr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rPr>
          <w:rFonts w:ascii="Arial Narrow" w:hAnsi="Arial Narrow"/>
          <w:sz w:val="22"/>
          <w:szCs w:val="22"/>
        </w:rPr>
      </w:pPr>
      <w:r w:rsidRPr="00610951">
        <w:rPr>
          <w:rFonts w:ascii="Arial Narrow" w:hAnsi="Arial Narrow"/>
          <w:sz w:val="22"/>
          <w:szCs w:val="22"/>
        </w:rPr>
        <w:t>4) Zmeny  účtovných zásad a</w:t>
      </w:r>
      <w:r>
        <w:rPr>
          <w:rFonts w:ascii="Arial Narrow" w:hAnsi="Arial Narrow"/>
          <w:sz w:val="22"/>
          <w:szCs w:val="22"/>
        </w:rPr>
        <w:t> </w:t>
      </w:r>
      <w:r w:rsidRPr="00610951">
        <w:rPr>
          <w:rFonts w:ascii="Arial Narrow" w:hAnsi="Arial Narrow"/>
          <w:sz w:val="22"/>
          <w:szCs w:val="22"/>
        </w:rPr>
        <w:t>metód</w:t>
      </w:r>
    </w:p>
    <w:p w:rsidR="00274C17" w:rsidRDefault="00274C17" w:rsidP="00274C1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ÚJ vznikla v roku 2023..</w:t>
      </w:r>
    </w:p>
    <w:p w:rsidR="00274C17" w:rsidRDefault="00274C17" w:rsidP="00274C1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ÚJ tvorila krátkodobú rezervu na  daňové  priznanie. </w:t>
      </w:r>
    </w:p>
    <w:p w:rsidR="00274C17" w:rsidRPr="008A4350" w:rsidRDefault="00274C17" w:rsidP="00274C17">
      <w:pPr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      </w:t>
      </w:r>
    </w:p>
    <w:p w:rsidR="00274C17" w:rsidRDefault="00274C17" w:rsidP="00274C17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</w:pPr>
      <w:r w:rsidRPr="008A4350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5)</w:t>
      </w:r>
      <w:r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Dotácie </w:t>
      </w:r>
      <w:r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ÚJ neboli  poskytnuté.</w:t>
      </w:r>
      <w:r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</w:p>
    <w:p w:rsidR="00274C17" w:rsidRPr="008A4350" w:rsidRDefault="00274C17" w:rsidP="00274C17">
      <w:pPr>
        <w:rPr>
          <w:rFonts w:ascii="Arial Narrow" w:hAnsi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6) ÚJ neúčtovala o oprave významných chýb minulých účtovných období účtovaných v bežnom účtovnom   </w:t>
      </w:r>
    </w:p>
    <w:p w:rsidR="00274C17" w:rsidRDefault="00274C17" w:rsidP="00274C17">
      <w:pPr>
        <w:rPr>
          <w:rFonts w:ascii="Arial Narrow" w:hAnsi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    období. </w:t>
      </w:r>
    </w:p>
    <w:p w:rsidR="00274C17" w:rsidRDefault="00274C17" w:rsidP="00274C1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</w:p>
    <w:p w:rsidR="00274C17" w:rsidRPr="00FD134C" w:rsidRDefault="00274C17" w:rsidP="00274C17">
      <w:pPr>
        <w:jc w:val="center"/>
        <w:rPr>
          <w:rFonts w:ascii="Arial Narrow" w:hAnsi="Arial Narrow"/>
          <w:b/>
          <w:sz w:val="22"/>
          <w:szCs w:val="22"/>
        </w:rPr>
      </w:pPr>
      <w:r w:rsidRPr="00FD134C">
        <w:rPr>
          <w:rFonts w:ascii="Arial Narrow" w:hAnsi="Arial Narrow"/>
          <w:b/>
          <w:sz w:val="22"/>
          <w:szCs w:val="22"/>
        </w:rPr>
        <w:t>Čl. III.    Informácie  ktoré vysvetľujú a dopĺňajú súvahu a výkaz  ziskov  a  strát</w:t>
      </w:r>
    </w:p>
    <w:p w:rsidR="00274C17" w:rsidRPr="008A4350" w:rsidRDefault="00274C17" w:rsidP="00274C17">
      <w:pPr>
        <w:rPr>
          <w:rFonts w:ascii="Arial Narrow" w:hAnsi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Informácie   sume a dôvodoch  vzniku  jednotlivých   položiek nákladov  alebo   výnosov výnimočného rozsahu  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alebo   výskytu – nie  sú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záväzkoch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Celková  suma  záväzkov so  zostatkovou  dobou  splatnosti nad 5 rokov:  z kúpy podniku – 15 000€.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Celková  suma zabezpečených záväzkov,  opis a spôsob  zabezpečenia :  0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 o vlastných  akciách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ÚJ  nie  je  akciová  spoločnosť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 Informácie  o orgánoch ÚJ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a) záruky  voči štatutárnym orgánom  -  nie  sú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b) pôžičky poskytnuté štatutárnym orgánom (sumy poskytnutých, splatených a odpustených pôžičiek k 31.12)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– nie sú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ÚJ nevykazuje  významné podmienené  záväzky ani uzávierkové účtovné  prípady..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6) ÚJ poskytla účasť na  dôchodkových programoch  pre  zamestnancov: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Stravovanie zamestnancov z nákladov  spoločnosti  a sociálneho  fondu. 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7) ÚJ neposkytuje  služby  vo  verejnom  záujme.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274C17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C17" w:rsidRPr="002716CB" w:rsidRDefault="00274C17" w:rsidP="00274C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C390E" w:rsidRDefault="000C390E"/>
    <w:sectPr w:rsidR="000C390E" w:rsidSect="000C39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8"/>
  <w:hyphenationZone w:val="425"/>
  <w:characterSpacingControl w:val="doNotCompress"/>
  <w:compat/>
  <w:rsids>
    <w:rsidRoot w:val="00274C17"/>
    <w:rsid w:val="000C390E"/>
    <w:rsid w:val="00274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4C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274C17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274C17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semiHidden/>
    <w:rsid w:val="00274C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74C17"/>
    <w:rPr>
      <w:rFonts w:ascii="Cambria" w:eastAsia="Times New Roman" w:hAnsi="Cambria" w:cs="Times New Roman"/>
      <w:b/>
      <w:bCs/>
      <w:i/>
      <w:iCs/>
      <w:sz w:val="28"/>
      <w:szCs w:val="2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16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430</Words>
  <Characters>2453</Characters>
  <Application>Microsoft Office Word</Application>
  <DocSecurity>0</DocSecurity>
  <Lines>20</Lines>
  <Paragraphs>5</Paragraphs>
  <ScaleCrop>false</ScaleCrop>
  <Company/>
  <LinksUpToDate>false</LinksUpToDate>
  <CharactersWithSpaces>2878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2024-03-15T13:43:00Z</dcterms:created>
  <dcterms:modified xsi:type="dcterms:W3CDTF">2024-03-15T13:49:00Z</dcterms:modified>
</cp:coreProperties>
</file>