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742" w:rsidRDefault="00B45CD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C37742" w:rsidRDefault="00B45CD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C37742" w:rsidRDefault="00B45CD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C37742" w:rsidRDefault="00C37742">
      <w:pPr>
        <w:rPr>
          <w:rFonts w:ascii="Arial Narrow" w:hAnsi="Arial Narrow"/>
          <w:sz w:val="22"/>
          <w:szCs w:val="22"/>
        </w:rPr>
      </w:pPr>
    </w:p>
    <w:p w:rsidR="00C37742" w:rsidRDefault="00B45CDC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C37742" w:rsidRDefault="00C37742">
      <w:pPr>
        <w:rPr>
          <w:rFonts w:ascii="Arial Narrow" w:hAnsi="Arial Narrow"/>
          <w:sz w:val="22"/>
          <w:szCs w:val="22"/>
        </w:rPr>
      </w:pPr>
    </w:p>
    <w:p w:rsidR="00C37742" w:rsidRDefault="00B45CD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C37742" w:rsidRDefault="00C37742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C37742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VIKI s.r.o.</w:t>
            </w:r>
          </w:p>
        </w:tc>
      </w:tr>
      <w:tr w:rsidR="00C37742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Bajzova 6, 821 08  Bratislava</w:t>
            </w:r>
          </w:p>
        </w:tc>
      </w:tr>
      <w:tr w:rsidR="00C37742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C37742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03.08.1993</w:t>
            </w:r>
          </w:p>
        </w:tc>
      </w:tr>
      <w:tr w:rsidR="00C37742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</w:t>
            </w:r>
          </w:p>
        </w:tc>
      </w:tr>
      <w:tr w:rsidR="00C3774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C3774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C37742" w:rsidRDefault="00B45CDC" w:rsidP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C37742" w:rsidRDefault="00C3774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7742" w:rsidRDefault="00B45CD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C37742" w:rsidRDefault="00B45CD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</w:t>
      </w:r>
      <w:r>
        <w:rPr>
          <w:rFonts w:ascii="Arial Narrow" w:hAnsi="Arial Narrow" w:cs="Arial Narrow"/>
          <w:bCs/>
          <w:sz w:val="22"/>
          <w:szCs w:val="22"/>
        </w:rPr>
        <w:t xml:space="preserve">ol 8 000 000 eur a priemerný prepočítaný počet zamestnancov počas účtovného obdobia presiahol 10, ale nepresiahol 50).  </w:t>
      </w:r>
    </w:p>
    <w:p w:rsidR="00C37742" w:rsidRDefault="00C3774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37742">
        <w:tc>
          <w:tcPr>
            <w:tcW w:w="2197" w:type="dxa"/>
            <w:shd w:val="clear" w:color="auto" w:fill="auto"/>
          </w:tcPr>
          <w:p w:rsidR="00C37742" w:rsidRDefault="00B45CD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C37742" w:rsidRDefault="00B45CD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C37742" w:rsidRDefault="00B45CD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C37742" w:rsidRDefault="00B45CD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5CDC">
        <w:tc>
          <w:tcPr>
            <w:tcW w:w="2197" w:type="dxa"/>
            <w:shd w:val="clear" w:color="auto" w:fill="auto"/>
          </w:tcPr>
          <w:p w:rsidR="00B45CDC" w:rsidRDefault="00B45CDC" w:rsidP="00B45CD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45CDC" w:rsidRDefault="00B45CDC" w:rsidP="00B45C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222 479</w:t>
            </w:r>
          </w:p>
        </w:tc>
        <w:tc>
          <w:tcPr>
            <w:tcW w:w="3260" w:type="dxa"/>
            <w:shd w:val="clear" w:color="auto" w:fill="auto"/>
          </w:tcPr>
          <w:p w:rsidR="00B45CDC" w:rsidRDefault="00B45CDC" w:rsidP="00B45C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202 766</w:t>
            </w:r>
          </w:p>
        </w:tc>
        <w:tc>
          <w:tcPr>
            <w:tcW w:w="1276" w:type="dxa"/>
            <w:shd w:val="clear" w:color="auto" w:fill="auto"/>
          </w:tcPr>
          <w:p w:rsidR="00B45CDC" w:rsidRDefault="00B45CDC" w:rsidP="00B45C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5CDC">
        <w:tc>
          <w:tcPr>
            <w:tcW w:w="2197" w:type="dxa"/>
            <w:shd w:val="clear" w:color="auto" w:fill="auto"/>
          </w:tcPr>
          <w:p w:rsidR="00B45CDC" w:rsidRDefault="00B45CDC" w:rsidP="00B45CD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45CDC" w:rsidRDefault="00B45CDC" w:rsidP="00B45C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577 764</w:t>
            </w:r>
          </w:p>
        </w:tc>
        <w:tc>
          <w:tcPr>
            <w:tcW w:w="3260" w:type="dxa"/>
            <w:shd w:val="clear" w:color="auto" w:fill="auto"/>
          </w:tcPr>
          <w:p w:rsidR="00B45CDC" w:rsidRDefault="00B45CDC" w:rsidP="00B45C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623 294</w:t>
            </w:r>
          </w:p>
        </w:tc>
        <w:tc>
          <w:tcPr>
            <w:tcW w:w="1276" w:type="dxa"/>
            <w:shd w:val="clear" w:color="auto" w:fill="auto"/>
          </w:tcPr>
          <w:p w:rsidR="00B45CDC" w:rsidRDefault="00B45CDC" w:rsidP="00B45C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5CDC">
        <w:tc>
          <w:tcPr>
            <w:tcW w:w="2197" w:type="dxa"/>
            <w:shd w:val="clear" w:color="auto" w:fill="auto"/>
          </w:tcPr>
          <w:p w:rsidR="00B45CDC" w:rsidRDefault="00B45CDC" w:rsidP="00B45CD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45CDC" w:rsidRDefault="00B45CDC" w:rsidP="00B45C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B45CDC" w:rsidRDefault="00B45CDC" w:rsidP="00B45C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B45CDC" w:rsidRDefault="00B45CDC" w:rsidP="00B45CD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C37742" w:rsidRDefault="00C3774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r>
        <w:rPr>
          <w:rFonts w:ascii="Arial Narrow" w:hAnsi="Arial Narrow"/>
          <w:sz w:val="22"/>
          <w:szCs w:val="22"/>
        </w:rPr>
        <w:t>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C37742" w:rsidRDefault="00C37742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13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.03.2023</w:t>
      </w:r>
    </w:p>
    <w:p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37742" w:rsidRDefault="00B45C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:rsidR="00C37742" w:rsidRDefault="00C3774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</w:t>
      </w:r>
      <w:r>
        <w:rPr>
          <w:rFonts w:ascii="Arial Narrow" w:hAnsi="Arial Narrow" w:cs="Arial Narrow"/>
          <w:bCs/>
          <w:sz w:val="22"/>
          <w:szCs w:val="22"/>
        </w:rPr>
        <w:t xml:space="preserve">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:rsidR="00C37742" w:rsidRDefault="00C3774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C37742" w:rsidRDefault="00C3774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C3774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C3774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C37742">
        <w:trPr>
          <w:trHeight w:val="537"/>
        </w:trPr>
        <w:tc>
          <w:tcPr>
            <w:tcW w:w="2492" w:type="pct"/>
            <w:vAlign w:val="center"/>
          </w:tcPr>
          <w:p w:rsidR="00C37742" w:rsidRDefault="00B45CD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C37742" w:rsidRDefault="00B45CD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C37742" w:rsidRDefault="00B45CD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C37742">
        <w:trPr>
          <w:trHeight w:val="163"/>
        </w:trPr>
        <w:tc>
          <w:tcPr>
            <w:tcW w:w="2492" w:type="pct"/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1214" w:type="pct"/>
            <w:vAlign w:val="bottom"/>
          </w:tcPr>
          <w:p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C37742" w:rsidRDefault="00C3774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C3774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C37742" w:rsidRDefault="00C3774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37742" w:rsidRDefault="00B45CDC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C37742" w:rsidRDefault="00B45CDC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C37742" w:rsidRDefault="00B45CDC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C37742" w:rsidRDefault="00B45CDC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C37742" w:rsidRDefault="00B45CDC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C37742" w:rsidRDefault="00C3774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37742" w:rsidRDefault="00C3774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C37742" w:rsidRDefault="00C3774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7742" w:rsidRDefault="00B45CD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</w:t>
      </w:r>
      <w:r>
        <w:rPr>
          <w:rFonts w:ascii="Arial Narrow" w:hAnsi="Arial Narrow" w:cs="Arial Narrow"/>
          <w:sz w:val="22"/>
          <w:szCs w:val="22"/>
        </w:rPr>
        <w:t xml:space="preserve">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C37742" w:rsidRDefault="00C3774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zásady a účtovné metódy, ktor</w:t>
      </w:r>
      <w:r>
        <w:rPr>
          <w:rFonts w:ascii="Arial Narrow" w:hAnsi="Arial Narrow" w:cs="Arial Narrow"/>
          <w:sz w:val="22"/>
          <w:szCs w:val="22"/>
        </w:rPr>
        <w:t xml:space="preserve">é sú dôležité na posúdenie majetku, záväzkov, finančnej situácie a výsledku hospodárenia konzistentne. </w:t>
      </w:r>
    </w:p>
    <w:p w:rsidR="00C37742" w:rsidRDefault="00C37742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riziko </w:t>
      </w:r>
      <w:r>
        <w:rPr>
          <w:rFonts w:ascii="Arial Narrow" w:hAnsi="Arial Narrow" w:cs="Arial Narrow"/>
          <w:sz w:val="22"/>
          <w:szCs w:val="22"/>
          <w:u w:val="single"/>
        </w:rPr>
        <w:t>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C37742" w:rsidRDefault="00C3774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</w:t>
      </w:r>
      <w:r>
        <w:rPr>
          <w:rFonts w:ascii="Arial Narrow" w:hAnsi="Arial Narrow" w:cs="Arial Narrow"/>
          <w:sz w:val="22"/>
          <w:szCs w:val="22"/>
        </w:rPr>
        <w:t>ujúcich odhadov):</w:t>
      </w:r>
    </w:p>
    <w:p w:rsidR="00C37742" w:rsidRDefault="00B45CD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C37742" w:rsidRDefault="00C377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Menovitá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hodnota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>
        <w:tc>
          <w:tcPr>
            <w:tcW w:w="706" w:type="dxa"/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>
        <w:tc>
          <w:tcPr>
            <w:tcW w:w="706" w:type="dxa"/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>
        <w:tc>
          <w:tcPr>
            <w:tcW w:w="706" w:type="dxa"/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</w:t>
      </w:r>
      <w:r>
        <w:rPr>
          <w:rFonts w:ascii="Arial Narrow" w:hAnsi="Arial Narrow" w:cs="Arial Narrow"/>
          <w:sz w:val="22"/>
          <w:szCs w:val="22"/>
        </w:rPr>
        <w:t xml:space="preserve"> je zaúčtované formou opravnej položky stanovené odborným odhadom bonity klienta. </w:t>
      </w:r>
    </w:p>
    <w:p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C37742" w:rsidRDefault="00B45CDC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</w:t>
      </w:r>
      <w:r>
        <w:rPr>
          <w:rFonts w:ascii="Arial Narrow" w:hAnsi="Arial Narrow"/>
          <w:sz w:val="22"/>
          <w:szCs w:val="22"/>
          <w:u w:val="single"/>
        </w:rPr>
        <w:t>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</w:t>
      </w:r>
      <w:r>
        <w:rPr>
          <w:rFonts w:ascii="Arial Narrow" w:hAnsi="Arial Narrow" w:cs="Arial Narrow"/>
          <w:sz w:val="22"/>
          <w:szCs w:val="22"/>
        </w:rPr>
        <w:t>ukážky, vkladové listy).</w:t>
      </w:r>
    </w:p>
    <w:p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</w:t>
      </w:r>
      <w:r>
        <w:rPr>
          <w:rFonts w:ascii="Arial Narrow" w:hAnsi="Arial Narrow" w:cs="Arial Narrow"/>
          <w:sz w:val="22"/>
          <w:szCs w:val="22"/>
          <w:u w:val="single"/>
        </w:rPr>
        <w:t>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počas účtovného obdobia (§ 25 ZoU), ani k závierkovému dňu (§ 27 ZoU) nepoužila ocene</w:t>
      </w:r>
      <w:r>
        <w:rPr>
          <w:rFonts w:ascii="Arial Narrow" w:hAnsi="Arial Narrow" w:cs="Arial Narrow"/>
          <w:sz w:val="22"/>
          <w:szCs w:val="22"/>
        </w:rPr>
        <w:t xml:space="preserve">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</w:t>
      </w:r>
      <w:r>
        <w:rPr>
          <w:rFonts w:ascii="Arial Narrow" w:hAnsi="Arial Narrow" w:cs="Arial Narrow"/>
          <w:sz w:val="22"/>
          <w:szCs w:val="22"/>
        </w:rPr>
        <w:t xml:space="preserve">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</w:t>
      </w:r>
      <w:r>
        <w:rPr>
          <w:rFonts w:ascii="Arial Narrow" w:hAnsi="Arial Narrow" w:cs="Arial Narrow"/>
          <w:sz w:val="22"/>
          <w:szCs w:val="22"/>
        </w:rPr>
        <w:t xml:space="preserve">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C37742" w:rsidRDefault="00C37742"/>
    <w:p w:rsidR="00C37742" w:rsidRDefault="00B45CDC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C37742">
        <w:tc>
          <w:tcPr>
            <w:tcW w:w="4218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Dlhodobý hmotný a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nehmotný</w:t>
            </w:r>
          </w:p>
          <w:p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37742">
        <w:tc>
          <w:tcPr>
            <w:tcW w:w="4218" w:type="dxa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37742">
        <w:tc>
          <w:tcPr>
            <w:tcW w:w="4218" w:type="dxa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37742">
        <w:tc>
          <w:tcPr>
            <w:tcW w:w="4218" w:type="dxa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C37742">
        <w:tc>
          <w:tcPr>
            <w:tcW w:w="4218" w:type="dxa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37742">
        <w:tc>
          <w:tcPr>
            <w:tcW w:w="4218" w:type="dxa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C37742">
        <w:tc>
          <w:tcPr>
            <w:tcW w:w="4218" w:type="dxa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37742">
        <w:tc>
          <w:tcPr>
            <w:tcW w:w="4218" w:type="dxa"/>
          </w:tcPr>
          <w:p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C37742" w:rsidRDefault="00B45CDC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C37742" w:rsidRDefault="00C37742">
      <w:pPr>
        <w:jc w:val="both"/>
        <w:rPr>
          <w:rFonts w:ascii="Arial Narrow" w:hAnsi="Arial Narrow" w:cs="Arial"/>
          <w:sz w:val="22"/>
          <w:szCs w:val="22"/>
        </w:rPr>
      </w:pPr>
    </w:p>
    <w:p w:rsidR="00C37742" w:rsidRDefault="00C37742">
      <w:pPr>
        <w:jc w:val="both"/>
        <w:rPr>
          <w:rFonts w:ascii="Arial Narrow" w:hAnsi="Arial Narrow" w:cs="Arial"/>
          <w:sz w:val="22"/>
          <w:szCs w:val="22"/>
        </w:rPr>
      </w:pPr>
    </w:p>
    <w:p w:rsidR="00C37742" w:rsidRDefault="00B45CDC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</w:t>
      </w:r>
      <w:r>
        <w:rPr>
          <w:rFonts w:ascii="Arial Narrow" w:hAnsi="Arial Narrow" w:cs="Arial"/>
          <w:sz w:val="22"/>
          <w:szCs w:val="22"/>
        </w:rPr>
        <w:t>používania majetku. Dlhodobý nehmotný majetok sa odpisuje počas 4 rokov od jeho obstarania.</w:t>
      </w:r>
    </w:p>
    <w:p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</w:t>
      </w:r>
      <w:r>
        <w:rPr>
          <w:rFonts w:ascii="Arial Narrow" w:hAnsi="Arial Narrow" w:cs="Arial"/>
          <w:sz w:val="22"/>
          <w:szCs w:val="22"/>
        </w:rPr>
        <w:t>etok s podporou softvéru Money (taktiež daňové odpisy podľa zákona o dani z príjmov).</w:t>
      </w:r>
    </w:p>
    <w:p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</w:t>
      </w:r>
      <w:r>
        <w:rPr>
          <w:rFonts w:ascii="Arial Narrow" w:hAnsi="Arial Narrow" w:cs="Arial"/>
          <w:sz w:val="22"/>
          <w:szCs w:val="22"/>
        </w:rPr>
        <w:t>jetku - komponentov).</w:t>
      </w:r>
    </w:p>
    <w:p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</w:t>
      </w:r>
      <w:r>
        <w:rPr>
          <w:rFonts w:ascii="Arial Narrow" w:hAnsi="Arial Narrow"/>
          <w:sz w:val="22"/>
          <w:szCs w:val="22"/>
        </w:rPr>
        <w:t>ťou nad jeden rok (§ 13/2 PU).</w:t>
      </w:r>
    </w:p>
    <w:p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C37742" w:rsidRDefault="00B45CDC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</w:t>
      </w:r>
      <w:r>
        <w:rPr>
          <w:rFonts w:ascii="Arial Narrow" w:hAnsi="Arial Narrow" w:cs="Arial Narrow"/>
          <w:sz w:val="22"/>
          <w:szCs w:val="22"/>
        </w:rPr>
        <w:t>etku (§ 34/1 PU; § 35/2/h PU).</w:t>
      </w:r>
    </w:p>
    <w:p w:rsidR="00C37742" w:rsidRDefault="00C3774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C37742" w:rsidRDefault="00C3774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C37742" w:rsidRDefault="00B45CDC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C37742">
        <w:tc>
          <w:tcPr>
            <w:tcW w:w="1601" w:type="pct"/>
            <w:shd w:val="clear" w:color="auto" w:fill="auto"/>
          </w:tcPr>
          <w:p w:rsidR="00C37742" w:rsidRDefault="00B45CD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C37742" w:rsidRDefault="00B45CD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C37742" w:rsidRDefault="00B45CD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C37742" w:rsidRDefault="00B45CD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C37742" w:rsidRDefault="00B45CD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C37742">
        <w:tc>
          <w:tcPr>
            <w:tcW w:w="1601" w:type="pct"/>
            <w:shd w:val="clear" w:color="auto" w:fill="auto"/>
          </w:tcPr>
          <w:p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7742">
        <w:tc>
          <w:tcPr>
            <w:tcW w:w="1601" w:type="pct"/>
            <w:shd w:val="clear" w:color="auto" w:fill="auto"/>
          </w:tcPr>
          <w:p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C37742" w:rsidRDefault="00C3774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VYSVETĽUJÚ A DOPĹŇAJÚ SÚVAHU A VÝKAZ ZISKOV A STRÁT</w:t>
      </w:r>
    </w:p>
    <w:p w:rsidR="00C37742" w:rsidRDefault="00C3774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C37742">
        <w:trPr>
          <w:trHeight w:val="693"/>
          <w:jc w:val="center"/>
        </w:trPr>
        <w:tc>
          <w:tcPr>
            <w:tcW w:w="2463" w:type="pct"/>
            <w:vAlign w:val="center"/>
          </w:tcPr>
          <w:p w:rsidR="00C37742" w:rsidRDefault="00B45CDC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C37742" w:rsidRDefault="00B45CDC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C37742" w:rsidRDefault="00B45CDC">
            <w:pPr>
              <w:pStyle w:val="TopHeader"/>
            </w:pPr>
            <w:r>
              <w:t>Bezprostredne predchádzajúce účtovné obdobie</w:t>
            </w:r>
          </w:p>
        </w:tc>
      </w:tr>
      <w:tr w:rsidR="00C37742">
        <w:trPr>
          <w:trHeight w:val="207"/>
          <w:jc w:val="center"/>
        </w:trPr>
        <w:tc>
          <w:tcPr>
            <w:tcW w:w="2463" w:type="pct"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</w:t>
            </w:r>
            <w:r>
              <w:rPr>
                <w:rFonts w:ascii="Arial Narrow" w:hAnsi="Arial Narrow"/>
                <w:bCs/>
                <w:sz w:val="22"/>
                <w:szCs w:val="22"/>
              </w:rPr>
              <w:t>d 5 rokov</w:t>
            </w:r>
          </w:p>
        </w:tc>
        <w:tc>
          <w:tcPr>
            <w:tcW w:w="1314" w:type="pct"/>
            <w:noWrap/>
            <w:vAlign w:val="center"/>
          </w:tcPr>
          <w:p w:rsidR="00C37742" w:rsidRDefault="00C377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C37742" w:rsidRDefault="00C377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C37742" w:rsidRDefault="00B45CDC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C37742" w:rsidRDefault="00C3774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C3774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37742" w:rsidRDefault="00C3774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37742" w:rsidRDefault="00C3774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37742" w:rsidRDefault="00B45CD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37742" w:rsidRDefault="00B45CDC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</w:t>
      </w:r>
      <w:r>
        <w:rPr>
          <w:rFonts w:ascii="Arial Narrow" w:hAnsi="Arial Narrow" w:cs="Arial Narrow"/>
          <w:b/>
          <w:sz w:val="22"/>
          <w:szCs w:val="22"/>
          <w:u w:val="single"/>
        </w:rPr>
        <w:t>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C37742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C37742" w:rsidRDefault="00B45CDC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C37742" w:rsidRDefault="00B45CDC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C37742" w:rsidRDefault="00B45CDC">
            <w:pPr>
              <w:pStyle w:val="TopHeader"/>
            </w:pPr>
            <w:r>
              <w:t>Bezprostredne predchádzajúce účtovné obdobie</w:t>
            </w:r>
          </w:p>
        </w:tc>
      </w:tr>
      <w:tr w:rsidR="00C3774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3774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3774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3774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C37742" w:rsidRDefault="00C377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37742" w:rsidRDefault="00C3774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774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C37742" w:rsidRDefault="00C377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37742" w:rsidRDefault="00C3774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774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37742" w:rsidRDefault="00C377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37742" w:rsidRDefault="00C3774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C3774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37742" w:rsidRDefault="00B45CD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C37742" w:rsidRDefault="00B45CD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C37742" w:rsidRDefault="00C3774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</w:t>
      </w:r>
      <w:r>
        <w:rPr>
          <w:rFonts w:ascii="Arial Narrow" w:hAnsi="Arial Narrow" w:cs="Arial Narrow"/>
          <w:sz w:val="22"/>
          <w:szCs w:val="22"/>
        </w:rPr>
        <w:t xml:space="preserve"> zostavenia účtovnej závierky nastali významné udalosti, ktoré by mali významný finančný vplyv (t.j. do dňa podpísania výkazov podľa § 17/5 ZoU) a ktoré nie sú zohľadnené v súvahe alebo vo výkaze ziskov a strát.</w:t>
      </w: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Pokles alebo zvýšenie trhovej ceny finanč</w:t>
      </w:r>
      <w:r>
        <w:rPr>
          <w:rFonts w:ascii="Arial Narrow" w:hAnsi="Arial Narrow" w:cs="Arial Narrow"/>
          <w:sz w:val="22"/>
          <w:szCs w:val="22"/>
        </w:rPr>
        <w:t xml:space="preserve">ného majetku </w:t>
      </w: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</w:t>
      </w:r>
      <w:r>
        <w:rPr>
          <w:rFonts w:ascii="Arial Narrow" w:hAnsi="Arial Narrow" w:cs="Arial Narrow"/>
          <w:sz w:val="22"/>
          <w:szCs w:val="22"/>
        </w:rPr>
        <w:t xml:space="preserve">ukončenie činnosti časti účtovnej jednotky, napríklad odštepného závodu, organizačnej zložky, prevádzkarne: </w:t>
      </w: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udalosti, ak ma</w:t>
      </w:r>
      <w:r>
        <w:rPr>
          <w:rFonts w:ascii="Arial Narrow" w:hAnsi="Arial Narrow" w:cs="Arial Narrow"/>
          <w:sz w:val="22"/>
          <w:szCs w:val="22"/>
        </w:rPr>
        <w:t xml:space="preserve">jú vplyv na hospodárenie účtovnej jednotky, napr. živelná pohroma: </w:t>
      </w:r>
    </w:p>
    <w:p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:rsidR="00C37742" w:rsidRDefault="00C3774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37742" w:rsidRDefault="00B45CD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C37742" w:rsidRDefault="00C3774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7742" w:rsidRDefault="00B45CD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</w:t>
      </w:r>
      <w:r>
        <w:rPr>
          <w:rFonts w:ascii="Arial Narrow" w:hAnsi="Arial Narrow" w:cs="Arial Narrow"/>
          <w:bCs/>
          <w:sz w:val="22"/>
          <w:szCs w:val="22"/>
        </w:rPr>
        <w:t>erejnom záujme: NIE</w:t>
      </w:r>
    </w:p>
    <w:p w:rsidR="00C37742" w:rsidRDefault="00B45CD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NIE</w:t>
      </w:r>
    </w:p>
    <w:p w:rsidR="00C37742" w:rsidRDefault="00B45CD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C37742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B45CDC">
      <w:r>
        <w:separator/>
      </w:r>
    </w:p>
  </w:endnote>
  <w:endnote w:type="continuationSeparator" w:id="0">
    <w:p w:rsidR="00000000" w:rsidRDefault="00B45C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742" w:rsidRDefault="00B45CD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C37742" w:rsidRDefault="00C3774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B45CDC">
      <w:r>
        <w:separator/>
      </w:r>
    </w:p>
  </w:footnote>
  <w:footnote w:type="continuationSeparator" w:id="0">
    <w:p w:rsidR="00000000" w:rsidRDefault="00B45C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742" w:rsidRDefault="00B45CD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31356249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2020313779</w:t>
    </w:r>
  </w:p>
  <w:p w:rsidR="00C37742" w:rsidRDefault="00C3774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3774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37742" w:rsidRDefault="00B45CD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37742" w:rsidRDefault="00C37742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37742" w:rsidRDefault="00B45CD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C37742" w:rsidRDefault="00C3774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5ABA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F9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5CDC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37742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42B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1B0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4F6C"/>
    <w:rsid w:val="00FF0436"/>
    <w:rsid w:val="00FF1C1B"/>
    <w:rsid w:val="00FF230B"/>
    <w:rsid w:val="00FF50C7"/>
    <w:rsid w:val="00FF67E6"/>
    <w:rsid w:val="09DA5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1F1835F0-A8A1-4645-BFC3-8E38F27BE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E9F69-DC07-4B0A-BF5F-DF7A88676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1634</Words>
  <Characters>10145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2018-03-10T15:53:00Z</cp:lastPrinted>
  <dcterms:created xsi:type="dcterms:W3CDTF">2024-03-15T09:53:00Z</dcterms:created>
  <dcterms:modified xsi:type="dcterms:W3CDTF">2024-03-15T09:53:00Z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23261917E74745A8A99FAFDE59A0BAAA</vt:lpwstr>
  </property>
</Properties>
</file>