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40" w:after="6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0"/>
          <w:shd w:fill="auto" w:val="clear"/>
        </w:rPr>
        <w:t xml:space="preserve">_____________________________________________________________________________________________________________________________________________________________________________</w:t>
      </w:r>
    </w:p>
    <w:p>
      <w:pPr>
        <w:spacing w:before="240" w:after="6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Poznámky k riadnej 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čnej individu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álnej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ávierke</w:t>
      </w:r>
    </w:p>
    <w:p>
      <w:pPr>
        <w:spacing w:before="240" w:after="6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zostavenej k 31. decembru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2023</w:t>
      </w:r>
    </w:p>
    <w:p>
      <w:pPr>
        <w:spacing w:before="240" w:after="6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  (hodnotové údaje sú v eur)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"/>
          <w:shd w:fill="auto" w:val="clear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keepNext w:val="true"/>
        <w:tabs>
          <w:tab w:val="left" w:pos="426" w:leader="none"/>
        </w:tabs>
        <w:spacing w:before="0" w:after="24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keepNext w:val="true"/>
        <w:tabs>
          <w:tab w:val="left" w:pos="426" w:leader="none"/>
        </w:tabs>
        <w:spacing w:before="0" w:after="24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Čl. I.                                                                                                                                                                                     </w:t>
        <w:tab/>
        <w:t xml:space="preserve">Všeobecn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é údaje</w:t>
      </w:r>
    </w:p>
    <w:p>
      <w:pPr>
        <w:tabs>
          <w:tab w:val="left" w:pos="426" w:leader="none"/>
        </w:tabs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(1) 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Názov právnickej osoby a jej sídlo, dátum zalo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ženia a d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átum vzniku</w:t>
      </w:r>
    </w:p>
    <w:p>
      <w:pPr>
        <w:spacing w:before="0" w:after="0" w:line="240"/>
        <w:ind w:right="0" w:left="426" w:firstLine="0"/>
        <w:jc w:val="both"/>
        <w:rPr>
          <w:rFonts w:ascii="Arial" w:hAnsi="Arial" w:cs="Arial" w:eastAsia="Arial"/>
          <w:color w:val="333399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Obchodné meno 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čtovnej jednotky:</w:t>
        <w:tab/>
        <w:t xml:space="preserve">Qualia-via, s.r.o.</w:t>
      </w:r>
    </w:p>
    <w:p>
      <w:pPr>
        <w:tabs>
          <w:tab w:val="left" w:pos="426" w:leader="none"/>
        </w:tabs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Sídlo 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čtovnej jednotky:</w:t>
        <w:tab/>
        <w:tab/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9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19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0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Doln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é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Ore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šany 451</w:t>
      </w:r>
    </w:p>
    <w:p>
      <w:pPr>
        <w:tabs>
          <w:tab w:val="left" w:pos="426" w:leader="none"/>
        </w:tabs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I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ČO:</w:t>
        <w:tab/>
        <w:tab/>
        <w:tab/>
        <w:tab/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48 282 588  </w:t>
      </w:r>
    </w:p>
    <w:p>
      <w:pPr>
        <w:tabs>
          <w:tab w:val="left" w:pos="426" w:leader="none"/>
        </w:tabs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 jednotka Qualia-via, s.r.o. (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ďalej len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„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čnosť“) bola založen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 zakladate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ľskou listinou zo dňa 14.08.2015 a do obchodn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ého registra bola zapísaná 26.08.2015 .</w:t>
      </w:r>
    </w:p>
    <w:p>
      <w:pPr>
        <w:tabs>
          <w:tab w:val="left" w:pos="426" w:leader="none"/>
        </w:tabs>
        <w:spacing w:before="0" w:after="0" w:line="240"/>
        <w:ind w:right="0" w:left="425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čnosť nie je pl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átcom DPH.</w:t>
      </w:r>
    </w:p>
    <w:p>
      <w:pPr>
        <w:tabs>
          <w:tab w:val="left" w:pos="426" w:leader="none"/>
        </w:tabs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  <w:tab w:val="left" w:pos="840" w:leader="none"/>
        </w:tabs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</w:p>
    <w:p>
      <w:pPr>
        <w:tabs>
          <w:tab w:val="left" w:pos="426" w:leader="none"/>
        </w:tabs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Predmet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činnosti podľa obchodn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ého registra: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kúpa tovaru za 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čelom jeho predaja konečn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ému spotrebite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ľovi /maloobchod/ alebo in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ým prevádzkovate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ľom živnosti /veľkoobchod/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vykonávanie mimo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školskej vzdel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ávacej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činnosti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organizovanie kultúrnych a iných 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čensk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ých podujatí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prevádzkovanie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športov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ých zariadení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prevádzkovanie zariadení slú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žiacich na regener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áciu a rekondíciu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reklamné a marketingové slu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žby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sprostredkovate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ľsk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činnosť v oblasti obchodu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sprostredkovate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ľsk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činnosť v oblasti služieb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sprostredkovate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ľsk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činnosť v oblasti v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ýroby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po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íta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čov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 slu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žby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slu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žby s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úvisiace s po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íta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čov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ým spracovaním údajov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vydavate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ľsk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činnosť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činnosť podnikateľsk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ých, organiza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ých a ekonomických poradcov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vedenie 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íctva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výroba bi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žut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érie a suvenírov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koloristické a vizá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žistick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 slu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žby bez z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ásahu do integrity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ľudsk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ého tela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spracovanie a úprava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čaju a k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ávy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výroba nápojov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poskytovanie slu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žieb r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ýchleho ob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čerstvenia v spojen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í s predajom na priamu konzumáciu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predaj cukrárenských výrobkov na priamu konzumáciu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chov vybraných druhov zvierat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chov, spracovanie a obchodovanie s chránenými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živoč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íchmi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poskytovanie slu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žieb s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úvisiacich so starostlivos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ťou o zvierat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</w:t>
      </w:r>
    </w:p>
    <w:p>
      <w:pPr>
        <w:spacing w:before="0" w:after="0" w:line="240"/>
        <w:ind w:right="0" w:left="993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tabs>
          <w:tab w:val="left" w:pos="426" w:leader="none"/>
        </w:tabs>
        <w:spacing w:before="0" w:after="240" w:line="240"/>
        <w:ind w:right="0" w:left="425" w:hanging="425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(2)  Údaje o konsolidovanom celku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 závierka spolo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čnosti Qualia-via, s.r.o. nie je k 31.12.2023 zahrnut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 do konsolidovaného okruhu riadnej ro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čnej individu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álnej 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ávierky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žiadnej obchodnej spoločnosti tak na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území SR ako ani v 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žiadnej inej krajine v E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 ani mimo EÚ.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čnosť Qualia-via, s. r.o. nie je materskou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čtovnou jednotkou žiadnej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čtovnej jednotke.</w:t>
      </w:r>
    </w:p>
    <w:p>
      <w:pPr>
        <w:tabs>
          <w:tab w:val="left" w:pos="426" w:leader="none"/>
        </w:tabs>
        <w:spacing w:before="0" w:after="0" w:line="240"/>
        <w:ind w:right="0" w:left="426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993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(3)  Priemerný po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čet zamestnancov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       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Ku d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ňu zostavenia riadnej ročnej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ávierky má 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čnosť  v trvalom pracovnom pomere 1 zamestnanca.</w:t>
      </w:r>
    </w:p>
    <w:p>
      <w:pPr>
        <w:spacing w:before="0" w:after="0" w:line="240"/>
        <w:ind w:right="0" w:left="993" w:firstLine="0"/>
        <w:jc w:val="both"/>
        <w:rPr>
          <w:rFonts w:ascii="Tahoma" w:hAnsi="Tahoma" w:cs="Tahoma" w:eastAsia="Tahoma"/>
          <w:b/>
          <w:color w:val="FF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993" w:firstLine="0"/>
        <w:jc w:val="both"/>
        <w:rPr>
          <w:rFonts w:ascii="Tahoma" w:hAnsi="Tahoma" w:cs="Tahoma" w:eastAsia="Tahoma"/>
          <w:b/>
          <w:color w:val="FF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993" w:firstLine="0"/>
        <w:jc w:val="both"/>
        <w:rPr>
          <w:rFonts w:ascii="Tahoma" w:hAnsi="Tahoma" w:cs="Tahoma" w:eastAsia="Tahoma"/>
          <w:color w:val="FF0000"/>
          <w:spacing w:val="0"/>
          <w:position w:val="0"/>
          <w:sz w:val="18"/>
          <w:shd w:fill="auto" w:val="clear"/>
        </w:rPr>
      </w:pPr>
    </w:p>
    <w:p>
      <w:pPr>
        <w:keepNext w:val="true"/>
        <w:tabs>
          <w:tab w:val="left" w:pos="426" w:leader="none"/>
        </w:tabs>
        <w:spacing w:before="0" w:after="24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u w:val="single"/>
          <w:shd w:fill="auto" w:val="clear"/>
        </w:rPr>
        <w:t xml:space="preserve">(4)  Informácie o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u w:val="single"/>
          <w:shd w:fill="auto" w:val="clear"/>
        </w:rPr>
        <w:t xml:space="preserve">členoch štatut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u w:val="single"/>
          <w:shd w:fill="auto" w:val="clear"/>
        </w:rPr>
        <w:t xml:space="preserve">árnych orgánoch a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u w:val="single"/>
          <w:shd w:fill="auto" w:val="clear"/>
        </w:rPr>
        <w:t xml:space="preserve">štrukt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u w:val="single"/>
          <w:shd w:fill="auto" w:val="clear"/>
        </w:rPr>
        <w:t xml:space="preserve">úra spolo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u w:val="single"/>
          <w:shd w:fill="auto" w:val="clear"/>
        </w:rPr>
        <w:t xml:space="preserve">čn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u w:val="single"/>
          <w:shd w:fill="auto" w:val="clear"/>
        </w:rPr>
        <w:t xml:space="preserve">íkov k 31.12.202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u w:val="single"/>
          <w:shd w:fill="auto" w:val="clear"/>
        </w:rPr>
        <w:t xml:space="preserve">3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íci: 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Ing. Mária Turini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čov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á,  bytom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9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19 01  Doln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é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Ore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šany 451</w:t>
      </w:r>
    </w:p>
    <w:p>
      <w:pPr>
        <w:spacing w:before="0" w:after="0" w:line="240"/>
        <w:ind w:right="0" w:left="426" w:firstLine="0"/>
        <w:jc w:val="both"/>
        <w:rPr>
          <w:rFonts w:ascii="Arial" w:hAnsi="Arial" w:cs="Arial" w:eastAsia="Arial"/>
          <w:color w:val="333399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 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Podiel 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íkov na základnom imaní 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čtovnej jednotky spolu,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údaje o ich hlasovacích právach je uvedený v nasledujúcej tabu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ľke: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 </w:t>
      </w:r>
    </w:p>
    <w:p>
      <w:pPr>
        <w:tabs>
          <w:tab w:val="left" w:pos="426" w:leader="none"/>
        </w:tabs>
        <w:spacing w:before="0" w:after="0" w:line="240"/>
        <w:ind w:right="0" w:left="426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tbl>
      <w:tblPr>
        <w:tblInd w:w="5" w:type="dxa"/>
      </w:tblPr>
      <w:tblGrid>
        <w:gridCol w:w="4390"/>
        <w:gridCol w:w="1709"/>
        <w:gridCol w:w="1559"/>
        <w:gridCol w:w="2154"/>
      </w:tblGrid>
      <w:tr>
        <w:trPr>
          <w:trHeight w:val="227" w:hRule="auto"/>
          <w:jc w:val="left"/>
          <w:cantSplit w:val="1"/>
        </w:trPr>
        <w:tc>
          <w:tcPr>
            <w:tcW w:w="4390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57" w:firstLine="0"/>
              <w:jc w:val="left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Spolo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čn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ík:</w:t>
            </w:r>
          </w:p>
        </w:tc>
        <w:tc>
          <w:tcPr>
            <w:tcW w:w="3268" w:type="dxa"/>
            <w:gridSpan w:val="2"/>
            <w:tcBorders>
              <w:top w:val="single" w:color="c0c0c0" w:sz="4"/>
              <w:left w:val="single" w:color="c0c0c0" w:sz="4"/>
              <w:bottom w:val="single" w:color="c0c0c0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Vý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ška podielu na z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ákladnom imaní</w:t>
            </w:r>
          </w:p>
        </w:tc>
        <w:tc>
          <w:tcPr>
            <w:tcW w:w="2154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c0c0c0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91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Vý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ška hlasovac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ích práv</w:t>
            </w:r>
          </w:p>
        </w:tc>
      </w:tr>
      <w:tr>
        <w:trPr>
          <w:trHeight w:val="341" w:hRule="auto"/>
          <w:jc w:val="left"/>
          <w:cantSplit w:val="1"/>
        </w:trPr>
        <w:tc>
          <w:tcPr>
            <w:tcW w:w="4390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9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v eur</w:t>
            </w:r>
          </w:p>
        </w:tc>
        <w:tc>
          <w:tcPr>
            <w:tcW w:w="1559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%</w:t>
            </w:r>
          </w:p>
        </w:tc>
        <w:tc>
          <w:tcPr>
            <w:tcW w:w="2154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c0c0c0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%</w:t>
            </w:r>
          </w:p>
        </w:tc>
      </w:tr>
      <w:tr>
        <w:trPr>
          <w:trHeight w:val="227" w:hRule="auto"/>
          <w:jc w:val="left"/>
          <w:cantSplit w:val="1"/>
        </w:trPr>
        <w:tc>
          <w:tcPr>
            <w:tcW w:w="4390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5040" w:leader="none"/>
              </w:tabs>
              <w:spacing w:before="0" w:after="0" w:line="240"/>
              <w:ind w:right="0" w:left="57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Ing. Mária Turini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čov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á</w:t>
            </w:r>
          </w:p>
          <w:p>
            <w:pPr>
              <w:tabs>
                <w:tab w:val="left" w:pos="5040" w:leader="none"/>
              </w:tabs>
              <w:spacing w:before="0" w:after="0" w:line="240"/>
              <w:ind w:right="0" w:left="57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tabs>
                <w:tab w:val="left" w:pos="5040" w:leader="none"/>
              </w:tabs>
              <w:spacing w:before="0" w:after="0" w:line="240"/>
              <w:ind w:right="0" w:left="57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1709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602" w:leader="none"/>
              </w:tabs>
              <w:spacing w:before="0" w:after="0" w:line="240"/>
              <w:ind w:right="292" w:left="57" w:firstLine="0"/>
              <w:jc w:val="center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5 000 </w:t>
            </w:r>
          </w:p>
        </w:tc>
        <w:tc>
          <w:tcPr>
            <w:tcW w:w="1559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100</w:t>
            </w:r>
          </w:p>
        </w:tc>
        <w:tc>
          <w:tcPr>
            <w:tcW w:w="2154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c0c0c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100</w:t>
            </w:r>
          </w:p>
        </w:tc>
      </w:tr>
    </w:tbl>
    <w:p>
      <w:pPr>
        <w:keepNext w:val="true"/>
        <w:tabs>
          <w:tab w:val="left" w:pos="426" w:leader="none"/>
        </w:tabs>
        <w:spacing w:before="0" w:after="240" w:line="240"/>
        <w:ind w:right="0" w:left="0" w:firstLine="0"/>
        <w:jc w:val="both"/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tabs>
          <w:tab w:val="left" w:pos="426" w:leader="none"/>
        </w:tabs>
        <w:spacing w:before="0" w:after="240" w:line="240"/>
        <w:ind w:right="0" w:left="425" w:hanging="425"/>
        <w:jc w:val="center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Čl. II.</w:t>
      </w:r>
    </w:p>
    <w:p>
      <w:pPr>
        <w:keepNext w:val="true"/>
        <w:tabs>
          <w:tab w:val="left" w:pos="426" w:leader="none"/>
        </w:tabs>
        <w:spacing w:before="0" w:after="240" w:line="240"/>
        <w:ind w:right="0" w:left="425" w:hanging="425"/>
        <w:jc w:val="center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Informácie o prijatých postupoch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(1)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 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Trvanie spolo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čnosti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  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 závierka 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čnosti bola zostaven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 za predpokladu nepretr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žit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ého trvania jej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činnosti v s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úlade so zákonom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č. 431/2002 Z. z. o 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íctve, v znení neskor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š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ích predpisov za 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 obdobie od 1.januára 202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3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 - do 31.decembra 202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3</w:t>
      </w:r>
    </w:p>
    <w:p>
      <w:pPr>
        <w:spacing w:before="0" w:after="0" w:line="240"/>
        <w:ind w:right="0" w:left="425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(2)  Spôsob oce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ňovania jednotliv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ých polo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žiek majetku a z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áväzkov 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7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Dlhodobý nehmotný majetok, dlhodobý hmotný majetok a dlhodobý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ý majetok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Dlhodobý nehmotný majetok nakupovaný sa oce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ňuje obstar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ávacou cenou, ktorá zah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ŕňa cenu obstarania, za ktor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 sa majetok obstaral a náklady súvisiace s jeho obstaraním (clo, prepravu, montá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ž, poistn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 a pod.).</w:t>
      </w:r>
    </w:p>
    <w:p>
      <w:pPr>
        <w:spacing w:before="0" w:after="0" w:line="240"/>
        <w:ind w:right="0" w:left="426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Dlhodobý majetok vytvorený vlastnou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činnosťou sa oceňuje skutočn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ými vlastnými nákladmi, t.j. priamymi nákladmi vynalo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žen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ými na výrobu. V roku 202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3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spolo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čnosť tak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ýto majetok nevytvorila.</w:t>
      </w:r>
    </w:p>
    <w:p>
      <w:pPr>
        <w:spacing w:before="0" w:after="0" w:line="240"/>
        <w:ind w:right="0" w:left="426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Dlhodobý majetok nadobudnutý bezodplatne sa oce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ňuje reprodukčnou obstar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ávacou cenou, t.j. cenou, za ktorú by sa majetok obstaral v 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čase, keď sa o ňom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čtuje. Spoločnosť v r.2023 bezodplatne nehmotn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ý majetok nenadobudla.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FF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Dlhodobý finan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  majetok sa oce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ňuje cenou obstarania. Spoločnosť tak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ýto majetok vo svojom vlastníctve nemá.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53"/>
        </w:numPr>
        <w:tabs>
          <w:tab w:val="left" w:pos="0" w:leader="none"/>
        </w:tabs>
        <w:spacing w:before="0" w:after="0" w:line="240"/>
        <w:ind w:right="0" w:left="360" w:hanging="36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Zásoby obstarané kúpou, zásoby vytvorené vlastnou 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činnosťou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Zásoby nakupované sa oce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 obstarávacou cenou, ktorá zah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ŕňa cenu obstarania a 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áklady súvisiace s ich obstaraním. 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Zásoby vytvorené vlastnou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činnosťou sa oceňuj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 vlastnými nákladmi. Vlastné náklady sú priame náklady (priamy materiál, priame mzdy a ostatné priame náklady) a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časť nepriamych 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ákladov bezprostredne súvisiacich s vytvorením zásob vlastnou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činnosťou (v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ýrobná ré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žia). V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ýrobná ré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žia sa do vlastn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ých nákladov zah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ŕňa v z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ávislosti od stup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ňa rozpracovanosti t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ýchto zásob. V roku 202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3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spolo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čnosť na vlastn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é náklady zásoby nevytvorila. 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55"/>
        </w:numPr>
        <w:tabs>
          <w:tab w:val="left" w:pos="0" w:leader="none"/>
        </w:tabs>
        <w:spacing w:before="0" w:after="0" w:line="240"/>
        <w:ind w:right="0" w:left="360" w:hanging="36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Poh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ávky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Poh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ávky sa pri ich vzniku oce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 ich menovitou hodnotou. Ak je zostatková doba splatnosti poh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ávky dlh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šia ako jeden rok, tvor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í sa zodpovedajúca opravná 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žka k pohľad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ávkam, ktorá predstavuje rozdiel medzi menovitou a sú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časnou hodnotou pohľad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ávky vo vý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ške 100 % nomin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álnej hodnoty.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57"/>
        </w:numPr>
        <w:tabs>
          <w:tab w:val="left" w:pos="0" w:leader="none"/>
        </w:tabs>
        <w:spacing w:before="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Krátkodobý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ý majetok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Krátkodobý finan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 majetok tvorí pe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ňažn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 hotovos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ť, zostatky na bankov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ých 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čtoch a kr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átkodobý finan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 majetok. Krátkodobý finan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 majetok predstavujú krátkodobé cenné papiere majetkového a úverového charakteru, ktoré sú v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čase obstarania splatn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é, prípadne ur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 na predaj do jedného roka od ich obstarania. K 31.12.202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3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 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čnosť eviduje peňažn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 prostriedky v banke a zostatok hotovosti na pokladni.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59"/>
        </w:numPr>
        <w:tabs>
          <w:tab w:val="left" w:pos="0" w:leader="none"/>
        </w:tabs>
        <w:spacing w:before="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Záväzky, rezervy, dlhopisy,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žičky a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úvery 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Záväzky sa pri ich vzniku oce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 menovitou hodnotou. Ak sa pri inventarizácii zistí,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že suma z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áväzkov je iná ako ich vý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ška v 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íctve, uvedú sa záväzky v 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íctve a v 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ávierke v tomto zistenom ocenení. 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Rezervy sú záväzky s neur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čit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ým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časov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ým vymedzením alebo vý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škou a 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čtuj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 sa v 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čak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ávanej vý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ške z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áväzku. K 31.12.202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3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 nevytvorila 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čnosť žiadne rezervy.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Dlhopisy sa oce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 pri nadobudnutí obstarávacími cenami, tzn. vrátane nákladov súvisiacich s obstaraním. K 31.decembru 202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3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 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čnosť dlhopisy nevlastn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í.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Úvery sa pri ich vzniku oce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 menovitou hodnotou. Ak sa pri inventarizácii zistí,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že suma z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áväzkov je iná ako ich vý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ška v 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íctve, uvedú sa záväzky v 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íctve a v 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ávierke v tomto zistenom ocenení. </w:t>
      </w:r>
    </w:p>
    <w:p>
      <w:pPr>
        <w:numPr>
          <w:ilvl w:val="0"/>
          <w:numId w:val="61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61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Derivátové operácie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O derivátových operáciách 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čnosť v priebehu r. 2023 ne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čtovala.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FF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(3)  Spôsob zostavenia odpisového plánu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Dlhodobý nehmotný majetok sa odpisuje pod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ľa odpisov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ého plánu 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ých odpisov do 5 rokov. Odpisova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ť sa zač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ína prvým d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ňom mesiaca po uveden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 majetku do pou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ívania. Drobný dlhodobý nehmotný majetok, ktorého obstarávacia cena je ni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žšia ako 2 400 eur sa odpisuje jednorazovo pri uveden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 do pou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ívania.  </w:t>
      </w:r>
    </w:p>
    <w:p>
      <w:pPr>
        <w:spacing w:before="0" w:after="0" w:line="240"/>
        <w:ind w:right="0" w:left="426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Predpokladaná doba pou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ívania, metóda odpisovania a odpisová sadzba sú uvedené v nasledujúcej tabu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ľke:</w:t>
      </w:r>
    </w:p>
    <w:p>
      <w:pPr>
        <w:spacing w:before="0" w:after="0" w:line="240"/>
        <w:ind w:right="0" w:left="426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tbl>
      <w:tblPr/>
      <w:tblGrid>
        <w:gridCol w:w="4403"/>
        <w:gridCol w:w="1964"/>
        <w:gridCol w:w="1715"/>
        <w:gridCol w:w="1745"/>
      </w:tblGrid>
      <w:tr>
        <w:trPr>
          <w:trHeight w:val="1" w:hRule="atLeast"/>
          <w:jc w:val="left"/>
          <w:cantSplit w:val="1"/>
        </w:trPr>
        <w:tc>
          <w:tcPr>
            <w:tcW w:w="4403" w:type="dxa"/>
            <w:tcBorders>
              <w:top w:val="single" w:color="000000" w:sz="2"/>
              <w:left w:val="single" w:color="000000" w:sz="8"/>
              <w:bottom w:val="single" w:color="000000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4" w:type="dxa"/>
            <w:tcBorders>
              <w:top w:val="single" w:color="000000" w:sz="2"/>
              <w:left w:val="single" w:color="000000" w:sz="8"/>
              <w:bottom w:val="single" w:color="000000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Predpokladaná doba pou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ž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ívania v rokoch</w:t>
            </w:r>
          </w:p>
        </w:tc>
        <w:tc>
          <w:tcPr>
            <w:tcW w:w="1715" w:type="dxa"/>
            <w:tcBorders>
              <w:top w:val="single" w:color="000000" w:sz="2"/>
              <w:left w:val="single" w:color="000000" w:sz="8"/>
              <w:bottom w:val="single" w:color="000000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Ro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čn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á odpisová sadzba v %</w:t>
            </w:r>
          </w:p>
        </w:tc>
        <w:tc>
          <w:tcPr>
            <w:tcW w:w="1745" w:type="dxa"/>
            <w:tcBorders>
              <w:top w:val="single" w:color="000000" w:sz="2"/>
              <w:left w:val="single" w:color="000000" w:sz="8"/>
              <w:bottom w:val="single" w:color="000000" w:sz="4"/>
              <w:right w:val="single" w:color="000000" w:sz="8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Metóda odpisovania</w:t>
            </w:r>
          </w:p>
        </w:tc>
      </w:tr>
      <w:tr>
        <w:trPr>
          <w:trHeight w:val="227" w:hRule="auto"/>
          <w:jc w:val="left"/>
          <w:cantSplit w:val="1"/>
        </w:trPr>
        <w:tc>
          <w:tcPr>
            <w:tcW w:w="4403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5040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Softvér</w:t>
            </w:r>
          </w:p>
        </w:tc>
        <w:tc>
          <w:tcPr>
            <w:tcW w:w="1964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right" w:pos="822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 1 - 5</w:t>
            </w:r>
          </w:p>
        </w:tc>
        <w:tc>
          <w:tcPr>
            <w:tcW w:w="1715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right" w:pos="822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 20</w:t>
            </w:r>
          </w:p>
        </w:tc>
        <w:tc>
          <w:tcPr>
            <w:tcW w:w="1745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91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rovnomerná       rovnomerná</w:t>
            </w:r>
          </w:p>
        </w:tc>
      </w:tr>
      <w:tr>
        <w:trPr>
          <w:trHeight w:val="227" w:hRule="auto"/>
          <w:jc w:val="left"/>
          <w:cantSplit w:val="1"/>
        </w:trPr>
        <w:tc>
          <w:tcPr>
            <w:tcW w:w="440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5040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Ocenite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ľn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é práva (licencie)</w:t>
            </w:r>
          </w:p>
        </w:tc>
        <w:tc>
          <w:tcPr>
            <w:tcW w:w="196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1 - 5</w:t>
            </w:r>
          </w:p>
        </w:tc>
        <w:tc>
          <w:tcPr>
            <w:tcW w:w="1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20</w:t>
            </w:r>
          </w:p>
        </w:tc>
        <w:tc>
          <w:tcPr>
            <w:tcW w:w="17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rovnomerná</w:t>
            </w:r>
          </w:p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 rovnome rovnomerná rná</w:t>
            </w:r>
          </w:p>
        </w:tc>
      </w:tr>
      <w:tr>
        <w:trPr>
          <w:trHeight w:val="227" w:hRule="auto"/>
          <w:jc w:val="left"/>
          <w:cantSplit w:val="1"/>
        </w:trPr>
        <w:tc>
          <w:tcPr>
            <w:tcW w:w="440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5040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Drobný dlhodobý nehmotný majetok</w:t>
            </w:r>
          </w:p>
        </w:tc>
        <w:tc>
          <w:tcPr>
            <w:tcW w:w="196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</w:p>
        </w:tc>
        <w:tc>
          <w:tcPr>
            <w:tcW w:w="1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100</w:t>
            </w:r>
          </w:p>
        </w:tc>
        <w:tc>
          <w:tcPr>
            <w:tcW w:w="17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rovnomerná</w:t>
            </w:r>
          </w:p>
        </w:tc>
      </w:tr>
    </w:tbl>
    <w:p>
      <w:pPr>
        <w:tabs>
          <w:tab w:val="right" w:pos="8222" w:leader="none"/>
        </w:tabs>
        <w:spacing w:before="0" w:after="0" w:line="240"/>
        <w:ind w:right="0" w:left="720" w:firstLine="720"/>
        <w:jc w:val="left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Dlhodobý hmotný majetok sa odpisuje pod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ľa odpisov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ého plánu, zostaveného na základe predpokladanej doby jeho pou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ívania a predpokladaného priebehu jeho opotrebenia. </w:t>
      </w:r>
    </w:p>
    <w:p>
      <w:pPr>
        <w:spacing w:before="0" w:after="0" w:line="240"/>
        <w:ind w:right="0" w:left="426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Odpisova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ť sa zač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ína prvým d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ňom mesiaca po uveden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 majetku do pou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ívania. Drobný dlhodobý hmotný majetok, ktorého obstarávacia cena (resp. vlastné náklady) je ni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žšia ako 1 700 eur sa odpisuje jednorazovo pri uveden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 do pou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ívania. Predpokladaná doba pou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ívania, metóda odpisovania a odpisová sadzba sú uvedené v nasledujúcej tabu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ľke:</w:t>
      </w:r>
    </w:p>
    <w:p>
      <w:pPr>
        <w:spacing w:before="0" w:after="0" w:line="240"/>
        <w:ind w:right="0" w:left="426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tbl>
      <w:tblPr>
        <w:tblInd w:w="10" w:type="dxa"/>
      </w:tblPr>
      <w:tblGrid>
        <w:gridCol w:w="4418"/>
        <w:gridCol w:w="1973"/>
        <w:gridCol w:w="1723"/>
        <w:gridCol w:w="1753"/>
      </w:tblGrid>
      <w:tr>
        <w:trPr>
          <w:trHeight w:val="514" w:hRule="auto"/>
          <w:jc w:val="left"/>
          <w:cantSplit w:val="1"/>
        </w:trPr>
        <w:tc>
          <w:tcPr>
            <w:tcW w:w="4418" w:type="dxa"/>
            <w:tcBorders>
              <w:top w:val="single" w:color="000000" w:sz="2"/>
              <w:left w:val="single" w:color="000000" w:sz="8"/>
              <w:bottom w:val="single" w:color="000000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Odpisová skupina</w:t>
            </w:r>
          </w:p>
        </w:tc>
        <w:tc>
          <w:tcPr>
            <w:tcW w:w="1973" w:type="dxa"/>
            <w:tcBorders>
              <w:top w:val="single" w:color="000000" w:sz="2"/>
              <w:left w:val="single" w:color="000000" w:sz="8"/>
              <w:bottom w:val="single" w:color="000000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Doba odpisovania</w:t>
            </w:r>
          </w:p>
        </w:tc>
        <w:tc>
          <w:tcPr>
            <w:tcW w:w="1723" w:type="dxa"/>
            <w:tcBorders>
              <w:top w:val="single" w:color="000000" w:sz="2"/>
              <w:left w:val="single" w:color="000000" w:sz="8"/>
              <w:bottom w:val="single" w:color="000000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Ro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čn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ý odpis</w:t>
            </w:r>
          </w:p>
        </w:tc>
        <w:tc>
          <w:tcPr>
            <w:tcW w:w="1753" w:type="dxa"/>
            <w:tcBorders>
              <w:top w:val="single" w:color="000000" w:sz="2"/>
              <w:left w:val="single" w:color="000000" w:sz="8"/>
              <w:bottom w:val="single" w:color="000000" w:sz="4"/>
              <w:right w:val="single" w:color="000000" w:sz="8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Metóda odpisovania</w:t>
            </w:r>
          </w:p>
        </w:tc>
      </w:tr>
      <w:tr>
        <w:trPr>
          <w:trHeight w:val="234" w:hRule="auto"/>
          <w:jc w:val="left"/>
          <w:cantSplit w:val="1"/>
        </w:trPr>
        <w:tc>
          <w:tcPr>
            <w:tcW w:w="4418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right" w:pos="822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  <w:tc>
          <w:tcPr>
            <w:tcW w:w="1973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2 roky</w:t>
            </w:r>
          </w:p>
        </w:tc>
        <w:tc>
          <w:tcPr>
            <w:tcW w:w="1723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1/2</w:t>
            </w:r>
          </w:p>
        </w:tc>
        <w:tc>
          <w:tcPr>
            <w:tcW w:w="1753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rovnomerná</w:t>
            </w:r>
          </w:p>
        </w:tc>
      </w:tr>
      <w:tr>
        <w:trPr>
          <w:trHeight w:val="234" w:hRule="auto"/>
          <w:jc w:val="left"/>
          <w:cantSplit w:val="1"/>
        </w:trPr>
        <w:tc>
          <w:tcPr>
            <w:tcW w:w="4418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right" w:pos="822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</w:p>
        </w:tc>
        <w:tc>
          <w:tcPr>
            <w:tcW w:w="1973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4 roky</w:t>
            </w:r>
          </w:p>
        </w:tc>
        <w:tc>
          <w:tcPr>
            <w:tcW w:w="1723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1/4</w:t>
            </w:r>
          </w:p>
        </w:tc>
        <w:tc>
          <w:tcPr>
            <w:tcW w:w="1753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rovnomerná</w:t>
            </w:r>
          </w:p>
        </w:tc>
      </w:tr>
      <w:tr>
        <w:trPr>
          <w:trHeight w:val="234" w:hRule="auto"/>
          <w:jc w:val="left"/>
          <w:cantSplit w:val="1"/>
        </w:trPr>
        <w:tc>
          <w:tcPr>
            <w:tcW w:w="4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right" w:pos="822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</w:p>
        </w:tc>
        <w:tc>
          <w:tcPr>
            <w:tcW w:w="197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6 rokov</w:t>
            </w:r>
          </w:p>
        </w:tc>
        <w:tc>
          <w:tcPr>
            <w:tcW w:w="172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1/6</w:t>
            </w:r>
          </w:p>
        </w:tc>
        <w:tc>
          <w:tcPr>
            <w:tcW w:w="17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rovnomerná</w:t>
            </w:r>
          </w:p>
        </w:tc>
      </w:tr>
      <w:tr>
        <w:trPr>
          <w:trHeight w:val="234" w:hRule="auto"/>
          <w:jc w:val="left"/>
          <w:cantSplit w:val="1"/>
        </w:trPr>
        <w:tc>
          <w:tcPr>
            <w:tcW w:w="4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50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3</w:t>
            </w:r>
          </w:p>
        </w:tc>
        <w:tc>
          <w:tcPr>
            <w:tcW w:w="197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8 rokov</w:t>
            </w:r>
          </w:p>
        </w:tc>
        <w:tc>
          <w:tcPr>
            <w:tcW w:w="172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1/8</w:t>
            </w:r>
          </w:p>
        </w:tc>
        <w:tc>
          <w:tcPr>
            <w:tcW w:w="17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rovnomerná</w:t>
            </w:r>
          </w:p>
        </w:tc>
      </w:tr>
      <w:tr>
        <w:trPr>
          <w:trHeight w:val="234" w:hRule="auto"/>
          <w:jc w:val="left"/>
          <w:cantSplit w:val="1"/>
        </w:trPr>
        <w:tc>
          <w:tcPr>
            <w:tcW w:w="4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50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4</w:t>
            </w:r>
          </w:p>
        </w:tc>
        <w:tc>
          <w:tcPr>
            <w:tcW w:w="197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12 rokov</w:t>
            </w:r>
          </w:p>
        </w:tc>
        <w:tc>
          <w:tcPr>
            <w:tcW w:w="172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1/12</w:t>
            </w:r>
          </w:p>
        </w:tc>
        <w:tc>
          <w:tcPr>
            <w:tcW w:w="17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rovnomerná</w:t>
            </w:r>
          </w:p>
        </w:tc>
      </w:tr>
      <w:tr>
        <w:trPr>
          <w:trHeight w:val="234" w:hRule="auto"/>
          <w:jc w:val="left"/>
          <w:cantSplit w:val="1"/>
        </w:trPr>
        <w:tc>
          <w:tcPr>
            <w:tcW w:w="4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50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</w:p>
        </w:tc>
        <w:tc>
          <w:tcPr>
            <w:tcW w:w="197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20 rokov</w:t>
            </w:r>
          </w:p>
        </w:tc>
        <w:tc>
          <w:tcPr>
            <w:tcW w:w="172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1/20</w:t>
            </w:r>
          </w:p>
        </w:tc>
        <w:tc>
          <w:tcPr>
            <w:tcW w:w="17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rovnomerná</w:t>
            </w:r>
          </w:p>
        </w:tc>
      </w:tr>
      <w:tr>
        <w:trPr>
          <w:trHeight w:val="234" w:hRule="auto"/>
          <w:jc w:val="left"/>
          <w:cantSplit w:val="1"/>
        </w:trPr>
        <w:tc>
          <w:tcPr>
            <w:tcW w:w="4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50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6</w:t>
            </w:r>
          </w:p>
        </w:tc>
        <w:tc>
          <w:tcPr>
            <w:tcW w:w="197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40 rokov</w:t>
            </w:r>
          </w:p>
        </w:tc>
        <w:tc>
          <w:tcPr>
            <w:tcW w:w="172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1/40</w:t>
            </w:r>
          </w:p>
        </w:tc>
        <w:tc>
          <w:tcPr>
            <w:tcW w:w="17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rovnomerná</w:t>
            </w:r>
          </w:p>
        </w:tc>
      </w:tr>
    </w:tbl>
    <w:p>
      <w:pPr>
        <w:spacing w:before="0" w:after="0" w:line="240"/>
        <w:ind w:right="0" w:left="426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Náklady na technické zhodnotenie dlhodobého hmotného majetku zvy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šuj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 jeho obstarávaciu cenu. </w:t>
      </w:r>
    </w:p>
    <w:p>
      <w:pPr>
        <w:spacing w:before="0" w:after="0" w:line="240"/>
        <w:ind w:right="0" w:left="425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V prípade prechodného zní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ženia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žitkovej hodnoty dlhodob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ého majetku, ktorá bola zistená pri inventarizácii a je výrazne ni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žšia ako jeho ocenenie v 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íctve po odpo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ítaní oprávok, je vytvorená opravná polo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žka vo v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ý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ške jeho zistenej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žitkovej hodnoty a toto zn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ženie nemožno považovať za zn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ženie trval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ého charakteru.</w:t>
      </w:r>
    </w:p>
    <w:p>
      <w:pPr>
        <w:spacing w:before="0" w:after="0" w:line="240"/>
        <w:ind w:right="0" w:left="425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5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(4)  Zmeny ú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ých zásad a zmeny ú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ých metód.                                                                                        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tabs>
          <w:tab w:val="left" w:pos="708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V roku 202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3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nebolo potrebné meni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ť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é zásady ani metódy 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čtovania.</w:t>
        <w:tab/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(5)  Informácie o dotáciách a ich oce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ňovanie v 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íctve.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V roku 202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3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spolo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čnosť neprijala žiadne dot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ácie.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(6)  Informácie o ú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čtovan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í významných opráv chýb minulých ú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ých období; vplyv na výsledok hospodárenia.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V roku 202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3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spolo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čnosť o oprav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ách chýb neú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čtovala.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23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keepNext w:val="true"/>
        <w:tabs>
          <w:tab w:val="left" w:pos="426" w:leader="none"/>
        </w:tabs>
        <w:spacing w:before="0" w:after="240" w:line="240"/>
        <w:ind w:right="0" w:left="425" w:hanging="425"/>
        <w:jc w:val="center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Čl. III.</w:t>
      </w:r>
    </w:p>
    <w:p>
      <w:pPr>
        <w:keepNext w:val="true"/>
        <w:tabs>
          <w:tab w:val="left" w:pos="426" w:leader="none"/>
        </w:tabs>
        <w:spacing w:before="0" w:after="240" w:line="240"/>
        <w:ind w:right="0" w:left="425" w:hanging="425"/>
        <w:jc w:val="center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Informácie, ktoré vysvet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ľuj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ú a dop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ĺňaj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ú súvahu a výkaz ziskov a strát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(1)  Informácia o sume a dôvodoch vzniku jednotlivých polo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žiek 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ákladov, alebo výnosov, ktoré majú výnimo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ý rozsah alebo výskyt, napríklad výnosy z predaja podniku alebo 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časti podniku, 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áklady z dôvodu predaja podniku alebo 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časti podniku, škody z d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ôvodu 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živeln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ých pohrôm.</w:t>
      </w:r>
    </w:p>
    <w:p>
      <w:pPr>
        <w:numPr>
          <w:ilvl w:val="0"/>
          <w:numId w:val="126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26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Dôvody pre 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čtovanie v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ýnimo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ých nákladov a výnosov v roku 202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3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 nevznikli.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(2)  Informácie o záväzkoch:                                                                                        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28"/>
        </w:numPr>
        <w:tabs>
          <w:tab w:val="left" w:pos="0" w:leader="none"/>
        </w:tabs>
        <w:spacing w:before="0" w:after="0" w:line="240"/>
        <w:ind w:right="0" w:left="720" w:hanging="36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Záväzky so zostatkovou dobou splatnosti dlh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šou ako p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ä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ť rokov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K 31.12.202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3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spolo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čnosť neeviduje z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áväzky s dobou splatnosti viac ako pä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ť rokov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30"/>
        </w:numPr>
        <w:tabs>
          <w:tab w:val="left" w:pos="0" w:leader="none"/>
        </w:tabs>
        <w:spacing w:before="0" w:after="0" w:line="240"/>
        <w:ind w:right="0" w:left="720" w:hanging="36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Celková suma zabezpe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ých záväzkov, odpis a spôsob zabezpe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čenia z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áväzkov. 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čnosť o zabezpečen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ých záväzkoch v roku 202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3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neú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čtovala.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(3)  Informácie o vlastných akciách, a to                                                                                        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32"/>
        </w:numPr>
        <w:tabs>
          <w:tab w:val="left" w:pos="0" w:leader="none"/>
        </w:tabs>
        <w:spacing w:before="0" w:after="0" w:line="240"/>
        <w:ind w:right="0" w:left="720" w:hanging="36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Dôvod nadobudnutia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34"/>
        </w:numPr>
        <w:tabs>
          <w:tab w:val="left" w:pos="0" w:leader="none"/>
        </w:tabs>
        <w:spacing w:before="0" w:after="0" w:line="240"/>
        <w:ind w:right="0" w:left="720" w:hanging="36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Informácia o: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1.   po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čte a menovitej hodnote nadobudnut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ých vlastných akcií, prevedených vlastných akcií po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čas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ého obdobia, pri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čom sa uv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ádza percentuálna hodnota týchto akcií na upísanom základnom imaní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2.    po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čte a hodnote, za ktor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 sa vlastné akcie po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čas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ého obdobia nadobudli a po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čte a hodnote, za ktor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 sa previedli na inú osobu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36"/>
        </w:numPr>
        <w:tabs>
          <w:tab w:val="left" w:pos="0" w:leader="none"/>
        </w:tabs>
        <w:spacing w:before="0" w:after="0" w:line="240"/>
        <w:ind w:right="0" w:left="720" w:hanging="36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Po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čte, menovitej hodnote a hodnote, za ktor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ú sa vlastné akcie nadobudli a ktoré má ú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á jednotka v dr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žbe k posledn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ému d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ňu 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ého obdobia; uvádza sa aj ich percentuálny podiel na upísanom základnom imaní.     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Na spolo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čnosť Qualia-via, s r.o. sa bod (3) nevzťahuje.   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(4)  Informácie o orgánoch ú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čtovnej jednotky, a to:                                                                                                                                                                   </w:t>
      </w:r>
    </w:p>
    <w:p>
      <w:pPr>
        <w:spacing w:before="0" w:after="0" w:line="240"/>
        <w:ind w:right="0" w:left="36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39"/>
        </w:numPr>
        <w:tabs>
          <w:tab w:val="left" w:pos="0" w:leader="none"/>
        </w:tabs>
        <w:spacing w:before="0" w:after="0" w:line="240"/>
        <w:ind w:right="0" w:left="644" w:hanging="36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Vý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ška jednotliv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ých záruk alebo iných zabezpe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í poskytnutých pre 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členov štatut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árneho orgánu                                   </w:t>
      </w:r>
    </w:p>
    <w:p>
      <w:pPr>
        <w:spacing w:before="0" w:after="0" w:line="240"/>
        <w:ind w:right="0" w:left="36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41"/>
        </w:numPr>
        <w:tabs>
          <w:tab w:val="left" w:pos="0" w:leader="none"/>
        </w:tabs>
        <w:spacing w:before="0" w:after="0" w:line="240"/>
        <w:ind w:right="0" w:left="644" w:hanging="36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 Pô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žičky poskytnut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é 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členom štatut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árneho orgánu</w:t>
      </w:r>
    </w:p>
    <w:p>
      <w:pPr>
        <w:spacing w:before="0" w:after="0" w:line="240"/>
        <w:ind w:right="0" w:left="708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43"/>
        </w:numPr>
        <w:tabs>
          <w:tab w:val="left" w:pos="0" w:leader="none"/>
        </w:tabs>
        <w:spacing w:before="0" w:after="0" w:line="240"/>
        <w:ind w:right="0" w:left="644" w:hanging="36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Podmienky za ktorých im boli záruky a pô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žičky poskytnut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é; pri pô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žičk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ách aj úrokové sadzby</w:t>
      </w:r>
    </w:p>
    <w:p>
      <w:pPr>
        <w:spacing w:before="0" w:after="0" w:line="240"/>
        <w:ind w:right="0" w:left="708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708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708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708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45"/>
        </w:numPr>
        <w:tabs>
          <w:tab w:val="left" w:pos="0" w:leader="none"/>
        </w:tabs>
        <w:spacing w:before="0" w:after="0" w:line="240"/>
        <w:ind w:right="0" w:left="644" w:hanging="36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Celková suma pou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žit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ých finan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ých prostriedkov alebo iného plnenia na súkromné ú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čely členmi štatut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árneho orgánu, dozorného orgánu a iného orgánu ú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čtovnej jednotky, ktor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é je potrebné vyú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čtovať.   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ab/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Štatut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árnemu orgánu neboli v priebehu roku 202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3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poskytnuté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žiadne z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áruky, iné zabezpe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čenia ani p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ô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žičky.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(5)   Informácie o povinnostiach ú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čtovnej jednotky                                                                                        </w:t>
      </w:r>
    </w:p>
    <w:p>
      <w:pPr>
        <w:numPr>
          <w:ilvl w:val="0"/>
          <w:numId w:val="147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47"/>
        </w:numPr>
        <w:tabs>
          <w:tab w:val="left" w:pos="0" w:leader="none"/>
        </w:tabs>
        <w:spacing w:before="0" w:after="12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Celková suma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ých povinností nevykazovaných v súvahe; evidované na podsúvahových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čtoch </w:t>
      </w:r>
    </w:p>
    <w:p>
      <w:pPr>
        <w:numPr>
          <w:ilvl w:val="0"/>
          <w:numId w:val="147"/>
        </w:numPr>
        <w:tabs>
          <w:tab w:val="left" w:pos="426" w:leader="none"/>
        </w:tabs>
        <w:spacing w:before="0" w:after="120" w:line="240"/>
        <w:ind w:right="0" w:left="426" w:hanging="437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Významný prenajatý majetok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čnosť ku dňu zostavenia riadnej ročnej individu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álnej 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ávierky neeviduje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žiaden majetok na pods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úvahových 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čtoch.</w:t>
      </w:r>
    </w:p>
    <w:p>
      <w:pPr>
        <w:spacing w:before="0" w:after="0" w:line="240"/>
        <w:ind w:right="0" w:left="426" w:firstLine="0"/>
        <w:jc w:val="left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52"/>
        </w:numPr>
        <w:tabs>
          <w:tab w:val="left" w:pos="426" w:leader="none"/>
        </w:tabs>
        <w:spacing w:before="0" w:after="120" w:line="240"/>
        <w:ind w:right="0" w:left="426" w:hanging="437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Majetok daný do prenájmu</w:t>
      </w:r>
    </w:p>
    <w:p>
      <w:pPr>
        <w:spacing w:before="0" w:after="0" w:line="240"/>
        <w:ind w:right="0" w:left="-11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čnosť neprenaj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íma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žiadny majetok.   </w:t>
      </w:r>
    </w:p>
    <w:p>
      <w:pPr>
        <w:spacing w:before="0" w:after="0" w:line="240"/>
        <w:ind w:right="0" w:left="426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55"/>
        </w:numPr>
        <w:tabs>
          <w:tab w:val="left" w:pos="426" w:leader="none"/>
        </w:tabs>
        <w:spacing w:before="0" w:after="120" w:line="240"/>
        <w:ind w:right="0" w:left="426" w:hanging="437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Významný majetok prijatý do úschovy</w:t>
      </w:r>
    </w:p>
    <w:p>
      <w:pPr>
        <w:spacing w:before="0" w:after="0" w:line="240"/>
        <w:ind w:right="0" w:left="-11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čnosť ku dňu zostavenia riadnej ročnej individu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álnej 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ávierky neeviduje majetok prijatý do úschovy.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  </w:t>
      </w:r>
    </w:p>
    <w:p>
      <w:pPr>
        <w:spacing w:before="0" w:after="0" w:line="240"/>
        <w:ind w:right="0" w:left="-11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57"/>
        </w:numPr>
        <w:tabs>
          <w:tab w:val="left" w:pos="0" w:leader="none"/>
        </w:tabs>
        <w:spacing w:before="0" w:after="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Celková suma významných podmienených záväzkov</w:t>
      </w: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 </w:t>
      </w: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1.      Mo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 povinnos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ť v d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ôsledku minulých udalostí vykázaná v súvahe. </w:t>
      </w: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2.      Mo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 povinnos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ť v d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ôsledku minulých udalostí nevykázaná v súvahe.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             </w:t>
      </w: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Odpis významných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ých povinností a významných podmienených záväzkov </w:t>
      </w: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Celková suma významných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ých povinností a záväzkov vo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či dc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érskej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čtovnej jednotke a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čtovnej jednotke s podstatn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ým vplyvom.  </w:t>
      </w: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Opis významných povinností vyplývajúcich z dôchodkových programov pre zamestnancov</w:t>
      </w: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(6)   Informácie o udelení výlu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ého práva alebo osobitného práva, ktorým sa udelilo právo poskytova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ť služby vo verejnom z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áujme, pri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čom sa uv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ádza náhrada za túto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činnosť v akejkoľvek forme, a ak sa z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árove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ň vykon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ávajú aj iné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činnosti, uv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ádzajú sa aj informácie o:</w:t>
      </w: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v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šetk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ých formách prijatej náhrady</w:t>
      </w: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ých zásadách pou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žit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ých pri pride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ľovan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í nákladov a výnosov</w:t>
      </w: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v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šetk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ých druhoch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činnost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í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čtovnej jednotky.   </w:t>
      </w: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čnosti neboli v priebehu roku 2023 udelen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žiadne pr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áva poskytova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ť služby vo verejnom z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áujme.   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num w:numId="13">
    <w:abstractNumId w:val="126"/>
  </w:num>
  <w:num w:numId="47">
    <w:abstractNumId w:val="120"/>
  </w:num>
  <w:num w:numId="53">
    <w:abstractNumId w:val="114"/>
  </w:num>
  <w:num w:numId="55">
    <w:abstractNumId w:val="108"/>
  </w:num>
  <w:num w:numId="57">
    <w:abstractNumId w:val="102"/>
  </w:num>
  <w:num w:numId="59">
    <w:abstractNumId w:val="96"/>
  </w:num>
  <w:num w:numId="61">
    <w:abstractNumId w:val="90"/>
  </w:num>
  <w:num w:numId="123">
    <w:abstractNumId w:val="84"/>
  </w:num>
  <w:num w:numId="126">
    <w:abstractNumId w:val="78"/>
  </w:num>
  <w:num w:numId="128">
    <w:abstractNumId w:val="72"/>
  </w:num>
  <w:num w:numId="130">
    <w:abstractNumId w:val="66"/>
  </w:num>
  <w:num w:numId="132">
    <w:abstractNumId w:val="60"/>
  </w:num>
  <w:num w:numId="134">
    <w:abstractNumId w:val="54"/>
  </w:num>
  <w:num w:numId="136">
    <w:abstractNumId w:val="48"/>
  </w:num>
  <w:num w:numId="139">
    <w:abstractNumId w:val="42"/>
  </w:num>
  <w:num w:numId="141">
    <w:abstractNumId w:val="36"/>
  </w:num>
  <w:num w:numId="143">
    <w:abstractNumId w:val="30"/>
  </w:num>
  <w:num w:numId="145">
    <w:abstractNumId w:val="24"/>
  </w:num>
  <w:num w:numId="147">
    <w:abstractNumId w:val="18"/>
  </w:num>
  <w:num w:numId="152">
    <w:abstractNumId w:val="12"/>
  </w:num>
  <w:num w:numId="155">
    <w:abstractNumId w:val="6"/>
  </w:num>
  <w:num w:numId="15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