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40" w:after="6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10"/>
          <w:shd w:fill="auto" w:val="clear"/>
        </w:rPr>
        <w:t xml:space="preserve">_____________________________________________________________________________________________________________________________________________________________________________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Poznámky k riadnej ro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čnej individu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álnej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8"/>
          <w:shd w:fill="auto" w:val="clear"/>
        </w:rPr>
        <w:t xml:space="preserve">ávierke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zostavenej k 31. decembru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2023</w:t>
      </w:r>
    </w:p>
    <w:p>
      <w:pPr>
        <w:spacing w:before="240" w:after="6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8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  <w:t xml:space="preserve">          (hodnotové údaje sú v eur)</w:t>
      </w:r>
    </w:p>
    <w:p>
      <w:pPr>
        <w:spacing w:before="0" w:after="0" w:line="240"/>
        <w:ind w:right="0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4"/>
          <w:shd w:fill="auto" w:val="clear"/>
        </w:rPr>
        <w:t xml:space="preserve"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0"/>
          <w:u w:val="single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Čl. I.                                                                                                                                                                                     </w:t>
        <w:tab/>
        <w:t xml:space="preserve">Všeobecn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4"/>
          <w:u w:val="single"/>
          <w:shd w:fill="auto" w:val="clear"/>
        </w:rPr>
        <w:t xml:space="preserve">é údaje</w:t>
      </w: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2"/>
          <w:shd w:fill="auto" w:val="clear"/>
        </w:rPr>
        <w:t xml:space="preserve">(1) 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Názov právnickej osoby a jej sídlo, dátum zalo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ženia a d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átum vzniku</w:t>
      </w:r>
    </w:p>
    <w:p>
      <w:pPr>
        <w:spacing w:before="0" w:after="0" w:line="240"/>
        <w:ind w:right="0" w:left="426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Obchodné meno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jednotky:</w:t>
        <w:tab/>
        <w:t xml:space="preserve">Qualia-via, s.r.o.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Sídlo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jednotky:</w:t>
        <w:tab/>
        <w:tab/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9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19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0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Doln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Ore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šany 451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I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ČO:</w:t>
        <w:tab/>
        <w:tab/>
        <w:tab/>
        <w:tab/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48 282 588  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jednotka Qualia-via, s.r.o. (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ďalej len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„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čnosť“) bola založen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zakladate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ľskou listinou zo dňa 14.08.2015 a do obchodn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registra bola zapísaná 26.08.2015 .</w:t>
      </w:r>
    </w:p>
    <w:p>
      <w:pPr>
        <w:tabs>
          <w:tab w:val="left" w:pos="426" w:leader="none"/>
        </w:tabs>
        <w:spacing w:before="0" w:after="0" w:line="240"/>
        <w:ind w:right="0" w:left="425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nie je pl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átcom DPH.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  <w:tab w:val="left" w:pos="840" w:leader="none"/>
        </w:tabs>
        <w:spacing w:before="0" w:after="0" w:line="240"/>
        <w:ind w:right="0" w:left="426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ab/>
      </w: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Predmet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činnosti podľa obchodn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ého registra: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kúpa tovaru za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čelom jeho predaja konečn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ému spotrebite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ľovi /maloobchod/ alebo in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prevádzkovate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ľom živnosti /veľkoobchod/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vykonávanie mimo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školskej vzdel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ávacej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činnosti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organizovanie kultúrnych a iných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čensk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podujatí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prevádzkovanie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športov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zariadení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prevádzkovanie zariadení slú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žiacich na regener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áciu a rekondíciu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reklamné a marketingové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obchodu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služieb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sprostredkovate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v oblasti 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ýroby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íta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 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úvisiace s po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íta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spracovaním údajov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vydavate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činnosť podnikateľsk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ých, organiza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a ekonomických poradcov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vedenie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íctva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výroba bi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žut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érie a suvenírov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koloristické a vizá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žistick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žby bez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ásahu do integrity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ľudsk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tela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spracovanie a úprava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čaju a 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ávy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výroba nápojov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poskytovanie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žieb 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ýchleho ob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čerstvenia v spojen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 s predajom na priamu konzumáciu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predaj cukrárenských výrobkov na priamu konzumáciu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chov vybraných druhov zvierat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chov, spracovanie a obchodovanie s chránenými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živoč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íchmi</w:t>
      </w:r>
    </w:p>
    <w:p>
      <w:pPr>
        <w:numPr>
          <w:ilvl w:val="0"/>
          <w:numId w:val="13"/>
        </w:numPr>
        <w:tabs>
          <w:tab w:val="left" w:pos="1713" w:leader="none"/>
        </w:tabs>
        <w:spacing w:before="0" w:after="0" w:line="240"/>
        <w:ind w:right="0" w:left="1713" w:hanging="36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poskytovanie slu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žieb 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úvisiacich so starostlivos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ťou o zvierat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</w:t>
      </w: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Údaje o konsolidovanom celku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čnosti Qualia-via, s.r.o. nie je k 31.12.2023 zahrnut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 do konsolidovaného okruhu riadnej ro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čnej individu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ávierky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žiadnej obchodnej spoločnosti tak na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území SR ako ani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žiadnej inej krajine v 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ani mimo EÚ.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Qualia-via, s. r.o. nie je materskou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čtovnou jednotkou žiadnej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jednotke.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(3)  Priemerný po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čet zamestnancov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     </w:t>
      </w:r>
    </w:p>
    <w:p>
      <w:pPr>
        <w:spacing w:before="0" w:after="120" w:line="24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Ku 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 zostavenia riadnej ročnej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ávierky má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 v trvalom pracovnom pomere 1 zamestnanca.</w:t>
      </w: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b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b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993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360"/>
        <w:ind w:right="0" w:left="0" w:firstLine="0"/>
        <w:jc w:val="both"/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(4)  Informácie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členoch štatut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árnych orgánoch a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štrukt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úra spolo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íkov k 31.12.202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u w:val="single"/>
          <w:shd w:fill="auto" w:val="clear"/>
        </w:rPr>
        <w:t xml:space="preserve">3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íci: 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Ing. Mária Turini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čov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á,  bytom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9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19 01  Doln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Ore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šany 451</w:t>
      </w:r>
    </w:p>
    <w:p>
      <w:pPr>
        <w:spacing w:before="0" w:after="0" w:line="240"/>
        <w:ind w:right="0" w:left="426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Podiel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íkov na základnom imaní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jednotky spolu,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údaje o ich hlasovacích právach je uvedený v nasledujúcej tabu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ľke: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tbl>
      <w:tblPr>
        <w:tblInd w:w="5" w:type="dxa"/>
      </w:tblPr>
      <w:tblGrid>
        <w:gridCol w:w="4390"/>
        <w:gridCol w:w="1709"/>
        <w:gridCol w:w="1559"/>
        <w:gridCol w:w="2154"/>
      </w:tblGrid>
      <w:tr>
        <w:trPr>
          <w:trHeight w:val="227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57" w:firstLine="0"/>
              <w:jc w:val="left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Spolo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ík:</w:t>
            </w:r>
          </w:p>
        </w:tc>
        <w:tc>
          <w:tcPr>
            <w:tcW w:w="3268" w:type="dxa"/>
            <w:gridSpan w:val="2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Vý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ška podielu na z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ákladnom imaní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91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Vý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ška hlasovac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ích práv</w:t>
            </w:r>
          </w:p>
        </w:tc>
      </w:tr>
      <w:tr>
        <w:trPr>
          <w:trHeight w:val="341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v eur</w:t>
            </w: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%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%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390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Ing. Mária Turini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čov</w:t>
            </w: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á</w:t>
            </w:r>
          </w:p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</w:pPr>
          </w:p>
          <w:p>
            <w:pPr>
              <w:tabs>
                <w:tab w:val="left" w:pos="5040" w:leader="none"/>
              </w:tabs>
              <w:spacing w:before="0" w:after="0" w:line="240"/>
              <w:ind w:right="0" w:left="57" w:firstLine="0"/>
              <w:jc w:val="left"/>
              <w:rPr>
                <w:spacing w:val="0"/>
                <w:position w:val="0"/>
              </w:rPr>
            </w:pPr>
          </w:p>
        </w:tc>
        <w:tc>
          <w:tcPr>
            <w:tcW w:w="170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292" w:left="57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5 000 </w:t>
            </w:r>
          </w:p>
        </w:tc>
        <w:tc>
          <w:tcPr>
            <w:tcW w:w="1559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2154" w:type="dxa"/>
            <w:tcBorders>
              <w:top w:val="single" w:color="c0c0c0" w:sz="4"/>
              <w:left w:val="single" w:color="c0c0c0" w:sz="4"/>
              <w:bottom w:val="single" w:color="c0c0c0" w:sz="4"/>
              <w:right w:val="single" w:color="c0c0c0" w:sz="4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000000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</w:tr>
    </w:tbl>
    <w:p>
      <w:pPr>
        <w:keepNext w:val="true"/>
        <w:tabs>
          <w:tab w:val="left" w:pos="426" w:leader="none"/>
        </w:tabs>
        <w:spacing w:before="0" w:after="240" w:line="240"/>
        <w:ind w:right="0" w:left="0" w:firstLine="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Čl. II.</w:t>
      </w: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Informácie o prijatých postupoch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(1)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Trvanie spolo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čnosti                                                                                                                                                                                                                                 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</w:p>
    <w:p>
      <w:pPr>
        <w:tabs>
          <w:tab w:val="left" w:pos="426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závierka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čnosti bola zostaven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za predpokladu nepretr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trvania jej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činnosti v 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úlade so zákonom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č. 431/2002 Z. z. o 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íctve, v znení neskor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ích predpisov za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obdobie od 1.januára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- do 31.decembra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Spôsob oce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ňovania jednotliv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žiek majetku a z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áväzkov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4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Dlhodobý nehmotný majetok, dlhodobý hmotný majetok a dlhodobý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nehmotný majetok nakupovaný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ňuje obstar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ávacou cenou, ktorá zah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ŕňa cenu obstarania, za ktor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sa majetok obstaral a náklady súvisiace s jeho obstaraním (clo, prepravu, montá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ž, poistn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a pod.).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majetok vytvorený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sa oceňuje skutočn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ými vlastnými nákladmi, t.j. priamymi nákladmi vynalo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ými na výrobu.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tak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ýto majetok nevytvorila.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majetok nadobudnutý bezodplatne sa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ňuje reprodukčnou obstar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ávacou cenou, t.j. cenou, za ktorú by sa majetok obstaral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čase, keď sa o ňom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čtuje. Spoločnosť v r.2023 bezodplatne nehmotn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 majetok nenadobudla.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 majetok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ňuje cenou obstarania. Spoločnosť tak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ýto majetok vo svojom vlastníctve nemá.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3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Zásoby obstarané kúpou, zásoby vytvorené vlastnou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činnosťou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Zásoby nakupované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obstarávacou cenou, ktorá zah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ŕňa cenu obstarania a 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áklady súvisiace s ich obstaraním.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Zásoby vytvorené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sa oceňuj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vlastnými nákladmi. Vlastné náklady sú priame náklady (priamy materiál, priame mzdy a ostatné priame náklady) 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časť nepriamych 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ákladov bezprostredne súvisiacich s vytvorením zásob vlastnou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činnosťou (v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ýrobná ré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žia). 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ýrobná ré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 sa do vlastn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nákladov zah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ŕňa v 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ávislosti od stup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ňa rozpracovanosti 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ýchto zásob.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na vlastn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 náklady zásoby nevytvorila.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5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Poh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ávky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Poh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sa pri ich vzniku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ich menovitou hodnotou. Ak je zostatková doba splatnosti poh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dlh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šia ako jeden rok, tvor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 sa zodpovedajúca opravná 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žka k pohľad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ávkam, ktorá predstavuje rozdiel medzi menovitou a sú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časnou hodnotou pohľad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ávky vo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ške 100 % nomin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álnej hodnoty.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7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 majetok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Krátkodobý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 tvorí pe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ňažn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hotovos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ť, zostatky na bankov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čtoch a kr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majetok. Krátkodobý finan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 majetok predstavujú krátkodobé cenné papiere majetkového a úverového charakteru, ktoré sú v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čase obstarania splatn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é, prípadne ur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na predaj do jedného roka od ich obstarania. K 31.12.202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eviduje peňažn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prostriedky v banke a zostatok hotovosti na pokladni.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59"/>
        </w:numPr>
        <w:tabs>
          <w:tab w:val="left" w:pos="0" w:leader="none"/>
        </w:tabs>
        <w:spacing w:before="0" w:after="0" w:line="240"/>
        <w:ind w:right="0" w:left="36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Záväzky, rezervy, dlhopisy,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žičky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úvery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Záväzky sa pri ich vzniku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menovitou hodnotou. Ak sa pri inventarizácii zistí,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Rezervy sú záväzky s neur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čit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časov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ým vymedzením alebo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škou a 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sa v 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čak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ávanej vý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ške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áväzku. K 31.12.202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nevytvorila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žiadne rezervy.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Dlhopisy sa oce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 pri nadobudnutí obstarávacími cenami, tzn. vrátane nákladov súvisiacich s obstaraním. K 31.decembru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dlhopisy nevlastn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Úvery sa pri ich vzniku oce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menovitou hodnotou. Ak sa pri inventarizácii zistí,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 suma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áväzkov je iná ako ich vý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ška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íctve, uvedú sa záväzky 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a v 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ávierke v tomto zistenom ocenení. </w:t>
      </w:r>
    </w:p>
    <w:p>
      <w:pPr>
        <w:numPr>
          <w:ilvl w:val="0"/>
          <w:numId w:val="61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61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Derivátové operácie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O derivátových operáciách 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v priebehu r. 2023 ne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FF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(3)  Spôsob zostavenia odpisového plánu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Dlhodobý nehmotný majetok sa odpisuje pod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ľa odpisov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plánu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odpisov do 5 rokov. Odpisova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ňom mesiaca po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majetku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Drobný dlhodobý nehmotný majetok, ktorého obstarávacia cena je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2 400 eur sa odpisuje jednorazovo pri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Predpokladaná doba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ívania, metóda odpisovania a odpisová sadzba sú uvedené v nasledujúcej tabu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tbl>
      <w:tblPr/>
      <w:tblGrid>
        <w:gridCol w:w="4403"/>
        <w:gridCol w:w="1964"/>
        <w:gridCol w:w="1715"/>
        <w:gridCol w:w="1745"/>
      </w:tblGrid>
      <w:tr>
        <w:trPr>
          <w:trHeight w:val="1" w:hRule="atLeast"/>
          <w:jc w:val="left"/>
          <w:cantSplit w:val="1"/>
        </w:trPr>
        <w:tc>
          <w:tcPr>
            <w:tcW w:w="440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64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Predpokladaná doba pou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ž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ívania v rokoch</w:t>
            </w:r>
          </w:p>
        </w:tc>
        <w:tc>
          <w:tcPr>
            <w:tcW w:w="1715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á odpisová sadzba v %</w:t>
            </w:r>
          </w:p>
        </w:tc>
        <w:tc>
          <w:tcPr>
            <w:tcW w:w="1745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8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Softvér</w:t>
            </w:r>
          </w:p>
        </w:tc>
        <w:tc>
          <w:tcPr>
            <w:tcW w:w="1964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1 - 5</w:t>
            </w:r>
          </w:p>
        </w:tc>
        <w:tc>
          <w:tcPr>
            <w:tcW w:w="17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20</w:t>
            </w:r>
          </w:p>
        </w:tc>
        <w:tc>
          <w:tcPr>
            <w:tcW w:w="174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0" w:after="0" w:line="240"/>
              <w:ind w:right="291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rovnomerná       rovnomerná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Ocenite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ľn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é práva (licencie)</w:t>
            </w:r>
          </w:p>
        </w:tc>
        <w:tc>
          <w:tcPr>
            <w:tcW w:w="196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1 - 5</w:t>
            </w:r>
          </w:p>
        </w:tc>
        <w:tc>
          <w:tcPr>
            <w:tcW w:w="171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20</w:t>
            </w:r>
          </w:p>
        </w:tc>
        <w:tc>
          <w:tcPr>
            <w:tcW w:w="174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rFonts w:ascii="Arial" w:hAnsi="Arial" w:cs="Arial" w:eastAsia="Arial"/>
                <w:color w:val="auto"/>
                <w:spacing w:val="0"/>
                <w:position w:val="0"/>
                <w:sz w:val="18"/>
                <w:shd w:fill="auto" w:val="clear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        rovnome rovnomerná rná</w:t>
            </w:r>
          </w:p>
        </w:tc>
      </w:tr>
      <w:tr>
        <w:trPr>
          <w:trHeight w:val="227" w:hRule="auto"/>
          <w:jc w:val="left"/>
          <w:cantSplit w:val="1"/>
        </w:trPr>
        <w:tc>
          <w:tcPr>
            <w:tcW w:w="440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Drobný dlhodobý nehmotný majetok</w:t>
            </w:r>
          </w:p>
        </w:tc>
        <w:tc>
          <w:tcPr>
            <w:tcW w:w="1964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171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100</w:t>
            </w:r>
          </w:p>
        </w:tc>
        <w:tc>
          <w:tcPr>
            <w:tcW w:w="1745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top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</w:tbl>
    <w:p>
      <w:pPr>
        <w:tabs>
          <w:tab w:val="right" w:pos="8222" w:leader="none"/>
        </w:tabs>
        <w:spacing w:before="0" w:after="0" w:line="240"/>
        <w:ind w:right="0" w:left="720" w:firstLine="720"/>
        <w:jc w:val="left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Dlhodobý hmotný majetok sa odpisuje pod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ľa odpisov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ého plánu, zostaveného na základe predpokladanej doby jeho pou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ívania a predpokladaného priebehu jeho opotrebenia.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Odpisova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sa zač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ína prvým d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ňom mesiaca po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majetku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Drobný dlhodobý hmotný majetok, ktorého obstarávacia cena (resp. vlastné náklady) je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1 700 eur sa odpisuje jednorazovo pri uveden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 do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ívania. Predpokladaná doba pou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ívania, metóda odpisovania a odpisová sadzba sú uvedené v nasledujúcej tabu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ľke: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tbl>
      <w:tblPr>
        <w:tblInd w:w="10" w:type="dxa"/>
      </w:tblPr>
      <w:tblGrid>
        <w:gridCol w:w="4418"/>
        <w:gridCol w:w="1973"/>
        <w:gridCol w:w="1723"/>
        <w:gridCol w:w="1753"/>
      </w:tblGrid>
      <w:tr>
        <w:trPr>
          <w:trHeight w:val="514" w:hRule="auto"/>
          <w:jc w:val="left"/>
          <w:cantSplit w:val="1"/>
        </w:trPr>
        <w:tc>
          <w:tcPr>
            <w:tcW w:w="4418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Odpisová skupina</w:t>
            </w:r>
          </w:p>
        </w:tc>
        <w:tc>
          <w:tcPr>
            <w:tcW w:w="197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Doba odpisovania</w:t>
            </w:r>
          </w:p>
        </w:tc>
        <w:tc>
          <w:tcPr>
            <w:tcW w:w="172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0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čn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ý odpis</w:t>
            </w:r>
          </w:p>
        </w:tc>
        <w:tc>
          <w:tcPr>
            <w:tcW w:w="1753" w:type="dxa"/>
            <w:tcBorders>
              <w:top w:val="single" w:color="000000" w:sz="2"/>
              <w:left w:val="single" w:color="000000" w:sz="8"/>
              <w:bottom w:val="single" w:color="000000" w:sz="4"/>
              <w:right w:val="single" w:color="000000" w:sz="8"/>
            </w:tcBorders>
            <w:shd w:color="auto" w:fill="d9d9d9" w:val="clear"/>
            <w:tcMar>
              <w:left w:w="0" w:type="dxa"/>
              <w:right w:w="0" w:type="dxa"/>
            </w:tcMar>
            <w:vAlign w:val="top"/>
          </w:tcPr>
          <w:p>
            <w:pPr>
              <w:spacing w:before="4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Metóda odpisovania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  <w:tc>
          <w:tcPr>
            <w:tcW w:w="197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 roky</w:t>
            </w:r>
          </w:p>
        </w:tc>
        <w:tc>
          <w:tcPr>
            <w:tcW w:w="172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1/2</w:t>
            </w:r>
          </w:p>
        </w:tc>
        <w:tc>
          <w:tcPr>
            <w:tcW w:w="17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</w:t>
            </w:r>
          </w:p>
        </w:tc>
        <w:tc>
          <w:tcPr>
            <w:tcW w:w="197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 roky</w:t>
            </w:r>
          </w:p>
        </w:tc>
        <w:tc>
          <w:tcPr>
            <w:tcW w:w="172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1/4</w:t>
            </w:r>
          </w:p>
        </w:tc>
        <w:tc>
          <w:tcPr>
            <w:tcW w:w="1753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right" w:pos="822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6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1/6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3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8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1/8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12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1/12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5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20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1/20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  <w:tr>
        <w:trPr>
          <w:trHeight w:val="234" w:hRule="auto"/>
          <w:jc w:val="left"/>
          <w:cantSplit w:val="1"/>
        </w:trPr>
        <w:tc>
          <w:tcPr>
            <w:tcW w:w="441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5040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6</w:t>
            </w:r>
          </w:p>
        </w:tc>
        <w:tc>
          <w:tcPr>
            <w:tcW w:w="197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40 rokov</w:t>
            </w:r>
          </w:p>
        </w:tc>
        <w:tc>
          <w:tcPr>
            <w:tcW w:w="172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1/40</w:t>
            </w:r>
          </w:p>
        </w:tc>
        <w:tc>
          <w:tcPr>
            <w:tcW w:w="1753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0" w:type="dxa"/>
              <w:right w:w="0" w:type="dxa"/>
            </w:tcMar>
            <w:vAlign w:val="center"/>
          </w:tcPr>
          <w:p>
            <w:pPr>
              <w:tabs>
                <w:tab w:val="left" w:pos="602" w:leader="none"/>
              </w:tabs>
              <w:spacing w:before="0" w:after="0" w:line="240"/>
              <w:ind w:right="0" w:left="57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18"/>
                <w:shd w:fill="auto" w:val="clear"/>
              </w:rPr>
              <w:t xml:space="preserve">rovnomerná</w:t>
            </w:r>
          </w:p>
        </w:tc>
      </w:tr>
    </w:tbl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Náklady na technické zhodnotenie dlhodobého hmotného majetku zvy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šuj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jeho obstarávaciu cenu. 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prípade prechodného zní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ženia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žitkovej hodnoty dlhodob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majetku, ktorá bola zistená pri inventarizácii a je výrazne 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žšia ako jeho ocenenie v 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íctve po odpo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ítaní oprávok, je vytvorená opravná 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žka vo 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ške jeho zistenej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žitkovej hodnoty a toto zn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ženie nemožno považovať za zn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í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ženie trval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charakteru.</w:t>
      </w: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425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(4)  Zmeny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zásad a zmeny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metód.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tabs>
          <w:tab w:val="left" w:pos="7080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nebolo potrebné meni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 zásady ani metódy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čtovania.</w:t>
        <w:tab/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(5)  Informácie o dotáciách a ich oce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ňovanie v 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íctve.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neprijala žiadne dot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ácie.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(6)  Informácie o 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čtovan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 významných opráv chýb minulých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období; vplyv na výsledok hospodárenia.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o oprav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ách chýb neú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3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Čl. III.</w:t>
      </w:r>
    </w:p>
    <w:p>
      <w:pPr>
        <w:keepNext w:val="true"/>
        <w:tabs>
          <w:tab w:val="left" w:pos="426" w:leader="none"/>
        </w:tabs>
        <w:spacing w:before="0" w:after="240" w:line="240"/>
        <w:ind w:right="0" w:left="425" w:hanging="425"/>
        <w:jc w:val="center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Informácie, ktoré vysvet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ľuj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 a dop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ĺňaj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 súvahu a výkaz ziskov a strát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(1)  Informácia o sume a dôvodoch vzniku jednotlivých polo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žiek 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ákladov, alebo výnosov, ktoré majú výnimo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 rozsah alebo výskyt, napríklad výnosy z predaja podniku alebo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časti podniku, 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áklady z dôvodu predaja podniku alebo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časti podniku, škody z 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ôvodu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živeln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pohrôm.</w:t>
      </w:r>
    </w:p>
    <w:p>
      <w:pPr>
        <w:numPr>
          <w:ilvl w:val="0"/>
          <w:numId w:val="126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6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Dôvody pre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čtovanie v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ýnimo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ých nákladov a výnosov v roku 202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nevznikli.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(2)  Informácie o záväzkoch: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28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Záväzky so zostatkovou dobou splatnosti dlh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šou ako p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ä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ť rokov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K 31.12.202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neeviduje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áväzky s dobou splatnosti viac ako pä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ť rokov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0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Celková suma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záväzkov, odpis a spôsob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čenia z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áväzkov.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o zabezpečen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záväzkoch v 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neú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čtovala.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(3)  Informácie o vlastných akciách, a to                                                                                   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2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Dôvod nadobudnutia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4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Informácia o: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1.  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menovitej hodnote nadobudnut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ých vlastných akcií, prevedených vlastných akcií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obdobia, pri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ádza percentuálna hodnota týchto akcií na upísanom základnom imaní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2.   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hodnote, za ktor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sa vlastné akcie 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čas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ého obdobia nadobudli a po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čte a hodnote, za ktor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ú sa previedli na inú osobu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6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čte, menovitej hodnote a hodnote, za ktor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 sa vlastné akcie nadobudli a ktoré má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 jednotka v dr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žbe k posledn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ému d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ňu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ého obdobia; uvádza sa aj ich percentuálny podiel na upísanom základnom imaní.  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Na 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Qualia-via, s r.o. sa bod (3) nevzťahuje.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(4)  Informácie o orgánoch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jednotky, a to:                                                                                                                                                                   </w:t>
      </w:r>
    </w:p>
    <w:p>
      <w:pPr>
        <w:spacing w:before="0" w:after="0" w:line="240"/>
        <w:ind w:right="0" w:left="36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39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Vý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ška jednotliv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záruk alebo iných zabezpe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í poskytnutých pre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členov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                                   </w:t>
      </w:r>
    </w:p>
    <w:p>
      <w:pPr>
        <w:spacing w:before="0" w:after="0" w:line="240"/>
        <w:ind w:right="0" w:left="36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1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žičky poskytnut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členom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</w:t>
      </w: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3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Podmienky za ktorých im boli záruky a 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žičky poskytnut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é; pri pô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žičk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ách aj úrokové sadzby</w:t>
      </w: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708" w:firstLine="0"/>
        <w:jc w:val="left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5"/>
        </w:numPr>
        <w:tabs>
          <w:tab w:val="left" w:pos="0" w:leader="none"/>
        </w:tabs>
        <w:spacing w:before="0" w:after="0" w:line="240"/>
        <w:ind w:right="0" w:left="644" w:hanging="36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Celková suma pou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finan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ých prostriedkov alebo iného plnenia na súkromné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čely členmi štatut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árneho orgánu, dozorného orgánu a iného orgánu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jednotky, ktor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é je potrebné vyú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čtovať.   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ab/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Štatut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árnemu orgánu neboli v priebehu roku 202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3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poskytnuté 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žiadne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áruky, iné zabezpe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čenia ani p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ô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žičky.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 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333399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(5)   Informácie o povinnostiach ú</w:t>
      </w:r>
      <w:r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  <w:t xml:space="preserve">čtovnej jednotky                                                                                        </w:t>
      </w:r>
    </w:p>
    <w:p>
      <w:pPr>
        <w:numPr>
          <w:ilvl w:val="0"/>
          <w:numId w:val="14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4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nevykazovaných v súvahe; evidované na podsúvahových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čtoch </w:t>
      </w:r>
    </w:p>
    <w:p>
      <w:pPr>
        <w:numPr>
          <w:ilvl w:val="0"/>
          <w:numId w:val="147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Významný prenajatý majetok </w:t>
      </w:r>
    </w:p>
    <w:p>
      <w:pPr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ku dňu zostavenia riadnej ročnej individu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ávierky neeviduje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žiaden majetok na pods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úvahových ú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čtoch.</w:t>
      </w:r>
    </w:p>
    <w:p>
      <w:pPr>
        <w:spacing w:before="0" w:after="0" w:line="240"/>
        <w:ind w:right="0" w:left="426" w:firstLine="0"/>
        <w:jc w:val="left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2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Majetok daný do prenájmu</w:t>
      </w:r>
    </w:p>
    <w:p>
      <w:pPr>
        <w:spacing w:before="0" w:after="0" w:line="240"/>
        <w:ind w:right="0" w:left="-1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čnosť neprenaj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íma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žiadny majetok.   </w:t>
      </w:r>
    </w:p>
    <w:p>
      <w:pPr>
        <w:spacing w:before="0" w:after="0" w:line="240"/>
        <w:ind w:right="0" w:left="426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5"/>
        </w:numPr>
        <w:tabs>
          <w:tab w:val="left" w:pos="426" w:leader="none"/>
        </w:tabs>
        <w:spacing w:before="0" w:after="120" w:line="240"/>
        <w:ind w:right="0" w:left="426" w:hanging="437"/>
        <w:jc w:val="both"/>
        <w:rPr>
          <w:rFonts w:ascii="Arial" w:hAnsi="Arial" w:cs="Arial" w:eastAsia="Arial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Významný majetok prijatý do úschovy</w:t>
      </w:r>
    </w:p>
    <w:p>
      <w:pPr>
        <w:spacing w:before="0" w:after="0" w:line="240"/>
        <w:ind w:right="0" w:left="-11" w:firstLine="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čnosť ku dňu zostavenia riadnej ročnej individu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álnej ú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čtovnej z</w:t>
      </w:r>
      <w:r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  <w:t xml:space="preserve">ávierky neeviduje majetok prijatý do úschovy.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  </w:t>
      </w:r>
    </w:p>
    <w:p>
      <w:pPr>
        <w:spacing w:before="0" w:after="0" w:line="240"/>
        <w:ind w:right="0" w:left="-11" w:firstLine="0"/>
        <w:jc w:val="both"/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0" w:line="240"/>
        <w:ind w:right="0" w:left="720" w:hanging="360"/>
        <w:jc w:val="both"/>
        <w:rPr>
          <w:rFonts w:ascii="Arial" w:hAnsi="Arial" w:cs="Arial" w:eastAsia="Arial"/>
          <w:color w:val="auto"/>
          <w:spacing w:val="0"/>
          <w:position w:val="0"/>
          <w:sz w:val="20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významných podmienených záväzkov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1.      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povinnos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v 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ôsledku minulých udalostí vykázaná v súvahe.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2.      Mo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 povinnos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v d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ôsledku minulých udalostí nevykázaná v súvahe.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           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Odpis významných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a významných podmienených záväzkov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Celková suma významných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povinností a záväzkov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 dc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érskej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jednotke a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jednotke s podstatn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ým vplyvom.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Opis významných povinností vyplývajúcich z dôchodkových programov pre zamestnancov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</w:pP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(6)   Informácie o udelení výlu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ého práva alebo osobitného práva, ktorým sa udelilo právo poskytova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ť služby vo verejnom z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áujme, pri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čom sa uv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ádza náhrada za túto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činnosť v akejkoľvek forme, a ak sa z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árove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ň vykon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ávajú aj iné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činnosti, uv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ádzajú sa aj informácie o: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šetk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formách prijatej náhrady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zásadách pou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žit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pri pride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ľovan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í nákladov a výnosov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72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v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šetk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ých druhoch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činnost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18"/>
          <w:shd w:fill="auto" w:val="clear"/>
        </w:rPr>
        <w:t xml:space="preserve">čtovnej jednotky.   </w:t>
      </w:r>
    </w:p>
    <w:p>
      <w:pPr>
        <w:numPr>
          <w:ilvl w:val="0"/>
          <w:numId w:val="157"/>
        </w:numPr>
        <w:tabs>
          <w:tab w:val="left" w:pos="0" w:leader="none"/>
        </w:tabs>
        <w:spacing w:before="0" w:after="120" w:line="240"/>
        <w:ind w:right="0" w:left="360" w:hanging="360"/>
        <w:jc w:val="both"/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18"/>
          <w:shd w:fill="auto" w:val="clear"/>
        </w:rPr>
      </w:pP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Spolo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čnosti neboli v priebehu roku 2023 udelen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é 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žiadne pr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áva poskytova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ť služby vo verejnom z</w:t>
      </w:r>
      <w:r>
        <w:rPr>
          <w:rFonts w:ascii="Tahoma" w:hAnsi="Tahoma" w:cs="Tahoma" w:eastAsia="Tahoma"/>
          <w:color w:val="auto"/>
          <w:spacing w:val="0"/>
          <w:position w:val="0"/>
          <w:sz w:val="18"/>
          <w:shd w:fill="auto" w:val="clear"/>
        </w:rPr>
        <w:t xml:space="preserve">áujme.   </w:t>
      </w: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b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ahoma" w:hAnsi="Tahoma" w:cs="Tahoma" w:eastAsia="Tahoma"/>
          <w:color w:val="000000"/>
          <w:spacing w:val="0"/>
          <w:position w:val="0"/>
          <w:sz w:val="18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num w:numId="13">
    <w:abstractNumId w:val="126"/>
  </w:num>
  <w:num w:numId="47">
    <w:abstractNumId w:val="120"/>
  </w:num>
  <w:num w:numId="53">
    <w:abstractNumId w:val="114"/>
  </w:num>
  <w:num w:numId="55">
    <w:abstractNumId w:val="108"/>
  </w:num>
  <w:num w:numId="57">
    <w:abstractNumId w:val="102"/>
  </w:num>
  <w:num w:numId="59">
    <w:abstractNumId w:val="96"/>
  </w:num>
  <w:num w:numId="61">
    <w:abstractNumId w:val="90"/>
  </w:num>
  <w:num w:numId="123">
    <w:abstractNumId w:val="84"/>
  </w:num>
  <w:num w:numId="126">
    <w:abstractNumId w:val="78"/>
  </w:num>
  <w:num w:numId="128">
    <w:abstractNumId w:val="72"/>
  </w:num>
  <w:num w:numId="130">
    <w:abstractNumId w:val="66"/>
  </w:num>
  <w:num w:numId="132">
    <w:abstractNumId w:val="60"/>
  </w:num>
  <w:num w:numId="134">
    <w:abstractNumId w:val="54"/>
  </w:num>
  <w:num w:numId="136">
    <w:abstractNumId w:val="48"/>
  </w:num>
  <w:num w:numId="139">
    <w:abstractNumId w:val="42"/>
  </w:num>
  <w:num w:numId="141">
    <w:abstractNumId w:val="36"/>
  </w:num>
  <w:num w:numId="143">
    <w:abstractNumId w:val="30"/>
  </w:num>
  <w:num w:numId="145">
    <w:abstractNumId w:val="24"/>
  </w:num>
  <w:num w:numId="147">
    <w:abstractNumId w:val="18"/>
  </w:num>
  <w:num w:numId="152">
    <w:abstractNumId w:val="12"/>
  </w:num>
  <w:num w:numId="155">
    <w:abstractNumId w:val="6"/>
  </w:num>
  <w:num w:numId="15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