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tbl>
      <w:tblPr>
        <w:tblW w:w="10172" w:type="dxa"/>
        <w:jc w:val="left"/>
        <w:tblInd w:w="3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69"/>
        <w:gridCol w:w="2567"/>
        <w:gridCol w:w="340"/>
        <w:gridCol w:w="339"/>
        <w:gridCol w:w="338"/>
        <w:gridCol w:w="339"/>
        <w:gridCol w:w="340"/>
        <w:gridCol w:w="339"/>
        <w:gridCol w:w="338"/>
        <w:gridCol w:w="340"/>
        <w:gridCol w:w="339"/>
        <w:gridCol w:w="338"/>
        <w:gridCol w:w="339"/>
        <w:gridCol w:w="340"/>
        <w:gridCol w:w="567"/>
      </w:tblGrid>
      <w:tr>
        <w:trPr/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lef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rPr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                                        </w:t>
            </w:r>
            <w:r>
              <w:rPr>
                <w:b/>
                <w:bCs/>
                <w:sz w:val="22"/>
                <w:szCs w:val="22"/>
              </w:rPr>
              <w:t xml:space="preserve">IČO  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keepNext w:val="true"/>
        <w:spacing w:lineRule="auto" w:line="240" w:before="0" w:after="0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keepNext w:val="true"/>
        <w:spacing w:lineRule="auto" w:line="240" w:before="0" w:after="0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I.</w:t>
      </w:r>
    </w:p>
    <w:p>
      <w:pPr>
        <w:pStyle w:val="Normal"/>
        <w:keepNext w:val="true"/>
        <w:spacing w:lineRule="auto" w:line="240" w:before="0" w:after="200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informácie</w:t>
      </w:r>
    </w:p>
    <w:p>
      <w:pPr>
        <w:pStyle w:val="Normal"/>
        <w:numPr>
          <w:ilvl w:val="0"/>
          <w:numId w:val="8"/>
        </w:numPr>
        <w:suppressAutoHyphens w:val="false"/>
        <w:spacing w:lineRule="auto" w:line="240" w:before="0" w:after="120"/>
        <w:ind w:left="284" w:hanging="284"/>
        <w:rPr>
          <w:sz w:val="22"/>
          <w:szCs w:val="22"/>
        </w:rPr>
      </w:pPr>
      <w:r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9844" w:type="dxa"/>
        <w:jc w:val="left"/>
        <w:tblInd w:w="3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72"/>
        <w:gridCol w:w="6971"/>
      </w:tblGrid>
      <w:tr>
        <w:trPr>
          <w:trHeight w:val="284" w:hRule="atLeast"/>
        </w:trPr>
        <w:tc>
          <w:tcPr>
            <w:tcW w:w="2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 a priezvisko fyzickej osoby alebo názov právnickej osoby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Danica Sedláčková</w:t>
            </w:r>
          </w:p>
        </w:tc>
      </w:tr>
      <w:tr>
        <w:trPr>
          <w:trHeight w:val="284" w:hRule="atLeast"/>
        </w:trPr>
        <w:tc>
          <w:tcPr>
            <w:tcW w:w="287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val="178" w:hRule="atLeast"/>
        </w:trPr>
        <w:tc>
          <w:tcPr>
            <w:tcW w:w="2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Dátum založenia alebo zriadenia účtovnej jednotky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dňa 30.08.2006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8"/>
        </w:numPr>
        <w:suppressAutoHyphens w:val="false"/>
        <w:spacing w:lineRule="auto" w:line="240" w:before="0" w:after="120"/>
        <w:ind w:left="284" w:hanging="284"/>
        <w:rPr>
          <w:sz w:val="22"/>
          <w:szCs w:val="22"/>
        </w:rPr>
      </w:pPr>
      <w:r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2" w:type="dxa"/>
        <w:jc w:val="righ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4"/>
        <w:gridCol w:w="6977"/>
      </w:tblGrid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Štatutárny orgán: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(Riaditeľ neziskovej organizácie)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            </w:t>
            </w:r>
            <w:r>
              <w:rPr>
                <w:sz w:val="22"/>
                <w:szCs w:val="22"/>
              </w:rPr>
              <w:t xml:space="preserve">Mgr. Hana Šafránková 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Revízor: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jc w:val="left"/>
              <w:rPr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            </w:t>
            </w:r>
            <w:r>
              <w:rPr>
                <w:sz w:val="22"/>
                <w:szCs w:val="22"/>
              </w:rPr>
              <w:t xml:space="preserve">Ĺubomír Rehuš 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Správna rada:</w:t>
            </w:r>
          </w:p>
          <w:p>
            <w:pPr>
              <w:pStyle w:val="Normal"/>
              <w:widowControl w:val="false"/>
              <w:spacing w:before="120" w:after="12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2"/>
              </w:numPr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Marcela Šafránková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2"/>
              </w:numPr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Katarína Baťková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2"/>
              </w:numPr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Anna Lišková </w:t>
            </w:r>
          </w:p>
        </w:tc>
      </w:tr>
    </w:tbl>
    <w:p>
      <w:pPr>
        <w:pStyle w:val="Normal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8"/>
        </w:numPr>
        <w:suppressAutoHyphens w:val="false"/>
        <w:spacing w:lineRule="auto" w:line="240" w:before="0" w:after="120"/>
        <w:ind w:left="284" w:hanging="284"/>
        <w:rPr>
          <w:sz w:val="22"/>
          <w:szCs w:val="22"/>
        </w:rPr>
      </w:pPr>
      <w:r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tbl>
      <w:tblPr>
        <w:tblW w:w="9812" w:type="dxa"/>
        <w:jc w:val="righ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4"/>
        <w:gridCol w:w="697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Poskytovanie sociálnych služieb v zmysle zákona č.448/2008 Z. z. o sociálnych službách a o zmene a doplnení zákona č.455/1991 Zb. o živnostenskom podnikaní (živnostenský zákon) v znení neskorších predpisov, a to: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72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Sociálne služby na zabezpečenie nevyhnutných podmienok na uspokojovanie základných životných potrieb v zariadeniach, ktorými sú: 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Zariadenie núdzového bývania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Útulok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3119" w:leader="none"/>
              </w:tabs>
              <w:spacing w:before="12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>
              <w:rPr>
                <w:sz w:val="22"/>
                <w:szCs w:val="22"/>
              </w:rPr>
              <w:t>2. vzdelávanie, výchova a rozvoj telesnej kultúry formou uskutočňovania a realizácie záujmovej činnosti pre klientov, deti a mládež</w:t>
            </w:r>
          </w:p>
        </w:tc>
      </w:tr>
    </w:tbl>
    <w:p>
      <w:pPr>
        <w:pStyle w:val="Normal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60" w:hanging="360"/>
        <w:rPr>
          <w:sz w:val="22"/>
          <w:szCs w:val="22"/>
        </w:rPr>
      </w:pPr>
      <w:r>
        <w:rPr>
          <w:sz w:val="22"/>
          <w:szCs w:val="22"/>
        </w:rPr>
        <w:t>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</w:t>
      </w:r>
    </w:p>
    <w:p>
      <w:pPr>
        <w:pStyle w:val="Normal"/>
        <w:spacing w:lineRule="auto" w:line="240" w:before="0" w:after="0"/>
        <w:ind w:left="9204" w:hanging="0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4800" w:type="pct"/>
        <w:jc w:val="left"/>
        <w:tblInd w:w="38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19"/>
        <w:gridCol w:w="2524"/>
        <w:gridCol w:w="2535"/>
      </w:tblGrid>
      <w:tr>
        <w:trPr>
          <w:trHeight w:val="284" w:hRule="atLeast"/>
        </w:trPr>
        <w:tc>
          <w:tcPr>
            <w:tcW w:w="4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napToGrid w:val="false"/>
              <w:spacing w:before="0" w:after="0"/>
              <w:ind w:left="0" w:hanging="0"/>
              <w:rPr/>
            </w:pPr>
            <w:r>
              <w:rPr/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>
        <w:trPr>
          <w:trHeight w:val="284" w:hRule="atLeast"/>
        </w:trPr>
        <w:tc>
          <w:tcPr>
            <w:tcW w:w="4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center"/>
              <w:rPr/>
            </w:pPr>
            <w:r>
              <w:rPr/>
              <w:t>16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center"/>
              <w:rPr/>
            </w:pPr>
            <w:r>
              <w:rPr>
                <w:b/>
              </w:rPr>
              <w:t>x</w:t>
            </w:r>
          </w:p>
        </w:tc>
      </w:tr>
      <w:tr>
        <w:trPr>
          <w:trHeight w:val="284" w:hRule="atLeast"/>
        </w:trPr>
        <w:tc>
          <w:tcPr>
            <w:tcW w:w="4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z toho počet vedúcich zamestnancov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center"/>
              <w:rPr/>
            </w:pPr>
            <w:r>
              <w:rPr/>
              <w:t>3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center"/>
              <w:rPr/>
            </w:pPr>
            <w:r>
              <w:rPr>
                <w:b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9204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0"/>
        <w:ind w:left="9204" w:hanging="0"/>
        <w:rPr>
          <w:sz w:val="22"/>
          <w:szCs w:val="22"/>
        </w:rPr>
      </w:pPr>
      <w:r>
        <w:rPr>
          <w:sz w:val="22"/>
          <w:szCs w:val="22"/>
        </w:rPr>
        <w:t>Strana 7</w:t>
      </w:r>
    </w:p>
    <w:p>
      <w:pPr>
        <w:pStyle w:val="Normal"/>
        <w:numPr>
          <w:ilvl w:val="0"/>
          <w:numId w:val="8"/>
        </w:numPr>
        <w:suppressAutoHyphens w:val="false"/>
        <w:spacing w:lineRule="auto" w:line="240" w:before="0" w:after="120"/>
        <w:ind w:left="284" w:hanging="284"/>
        <w:rPr>
          <w:sz w:val="22"/>
          <w:szCs w:val="22"/>
        </w:rPr>
      </w:pPr>
      <w:r>
        <w:rPr>
          <w:sz w:val="22"/>
          <w:szCs w:val="22"/>
        </w:rPr>
        <w:t>Organizačná štruktúra účtovnej jednotky</w:t>
      </w:r>
    </w:p>
    <w:tbl>
      <w:tblPr>
        <w:tblW w:w="9802" w:type="dxa"/>
        <w:jc w:val="righ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752"/>
        <w:gridCol w:w="7049"/>
      </w:tblGrid>
      <w:tr>
        <w:trPr>
          <w:trHeight w:val="284" w:hRule="atLeast"/>
        </w:trPr>
        <w:tc>
          <w:tcPr>
            <w:tcW w:w="27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Orgány účtovnej jednotky: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(riadiace, štatutárne, kontrolné)</w:t>
            </w: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Riaditeľka</w:t>
            </w:r>
          </w:p>
        </w:tc>
      </w:tr>
      <w:tr>
        <w:trPr>
          <w:trHeight w:val="284" w:hRule="atLeast"/>
        </w:trPr>
        <w:tc>
          <w:tcPr>
            <w:tcW w:w="275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Správna rada</w:t>
            </w:r>
          </w:p>
        </w:tc>
      </w:tr>
      <w:tr>
        <w:trPr>
          <w:trHeight w:val="284" w:hRule="atLeast"/>
        </w:trPr>
        <w:tc>
          <w:tcPr>
            <w:tcW w:w="275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  <w:tr>
        <w:trPr>
          <w:trHeight w:val="284" w:hRule="atLeast"/>
        </w:trPr>
        <w:tc>
          <w:tcPr>
            <w:tcW w:w="27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Organizačné útvary: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(zabezpečujúce hlavnú činnosť, prípadne ekonomickú, resp. podnikateľskú činnosť a obslužné činnosti)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Zástupkyňa riaditeľky v Betánii</w:t>
            </w:r>
          </w:p>
        </w:tc>
      </w:tr>
      <w:tr>
        <w:trPr>
          <w:trHeight w:val="284" w:hRule="atLeast"/>
        </w:trPr>
        <w:tc>
          <w:tcPr>
            <w:tcW w:w="275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Zástupkyňa riaditeľky v Emauzy</w:t>
            </w:r>
          </w:p>
        </w:tc>
      </w:tr>
      <w:tr>
        <w:trPr>
          <w:trHeight w:val="284" w:hRule="atLeast"/>
        </w:trPr>
        <w:tc>
          <w:tcPr>
            <w:tcW w:w="275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Sociálni pracovníci</w:t>
            </w:r>
          </w:p>
        </w:tc>
      </w:tr>
      <w:tr>
        <w:trPr>
          <w:trHeight w:val="284" w:hRule="atLeast"/>
        </w:trPr>
        <w:tc>
          <w:tcPr>
            <w:tcW w:w="275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Účtovníčka</w:t>
            </w:r>
          </w:p>
        </w:tc>
      </w:tr>
      <w:tr>
        <w:trPr>
          <w:trHeight w:val="284" w:hRule="atLeast"/>
        </w:trPr>
        <w:tc>
          <w:tcPr>
            <w:tcW w:w="275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Údržbár</w:t>
            </w:r>
          </w:p>
        </w:tc>
      </w:tr>
    </w:tbl>
    <w:p>
      <w:pPr>
        <w:pStyle w:val="Normal"/>
        <w:spacing w:lineRule="auto" w:line="240" w:before="0" w:after="120"/>
        <w:ind w:left="4248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ind w:left="4248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jc w:val="center"/>
        <w:rPr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</w:t>
      </w:r>
    </w:p>
    <w:p>
      <w:pPr>
        <w:pStyle w:val="Normal"/>
        <w:keepNext w:val="true"/>
        <w:spacing w:lineRule="auto" w:line="240" w:before="0" w:after="200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>
      <w:pPr>
        <w:pStyle w:val="Normal"/>
        <w:numPr>
          <w:ilvl w:val="0"/>
          <w:numId w:val="9"/>
        </w:numPr>
        <w:spacing w:lineRule="auto" w:line="240" w:before="0" w:after="120"/>
        <w:ind w:left="360" w:hanging="360"/>
        <w:rPr>
          <w:sz w:val="22"/>
          <w:szCs w:val="22"/>
        </w:rPr>
      </w:pPr>
      <w:r>
        <w:rPr>
          <w:sz w:val="22"/>
          <w:szCs w:val="22"/>
        </w:rPr>
        <w:t xml:space="preserve">Informácia, či je účtovná závierka zostavená za splnenia predpokladu, že účtovná jednotka bude nepretržite pokračovať vo svojej činnosti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szCs w:val="22"/>
        </w:rPr>
        <w:instrText> FORMCHECKBOX </w:instrText>
      </w:r>
      <w:r>
        <w:rPr>
          <w:sz w:val="22"/>
          <w:szCs w:val="22"/>
        </w:rPr>
        <w:fldChar w:fldCharType="separate"/>
      </w:r>
      <w:bookmarkStart w:id="0" w:name="__Fieldmark__223_1864808850"/>
      <w:bookmarkStart w:id="1" w:name="__Fieldmark__223_1864808850"/>
      <w:bookmarkEnd w:id="1"/>
      <w:r>
        <w:rPr>
          <w:sz w:val="22"/>
          <w:szCs w:val="22"/>
        </w:rPr>
      </w:r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 ÁNO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szCs w:val="22"/>
        </w:rPr>
        <w:instrText> FORMCHECKBOX </w:instrText>
      </w:r>
      <w:r>
        <w:rPr>
          <w:sz w:val="22"/>
          <w:szCs w:val="22"/>
        </w:rPr>
        <w:fldChar w:fldCharType="separate"/>
      </w:r>
      <w:bookmarkStart w:id="2" w:name="__Fieldmark__227_1864808850"/>
      <w:bookmarkStart w:id="3" w:name="__Fieldmark__227_1864808850"/>
      <w:bookmarkEnd w:id="3"/>
      <w:r>
        <w:rPr>
          <w:sz w:val="22"/>
          <w:szCs w:val="22"/>
        </w:rPr>
      </w:r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 </w:t>
      </w:r>
      <w:r>
        <w:rPr>
          <w:sz w:val="22"/>
          <w:szCs w:val="22"/>
        </w:rPr>
        <w:t>NIE</w:t>
      </w:r>
    </w:p>
    <w:p>
      <w:pPr>
        <w:pStyle w:val="Normal"/>
        <w:numPr>
          <w:ilvl w:val="0"/>
          <w:numId w:val="9"/>
        </w:numPr>
        <w:spacing w:lineRule="auto" w:line="240" w:before="0" w:after="120"/>
        <w:ind w:left="360" w:hanging="360"/>
        <w:rPr>
          <w:sz w:val="22"/>
          <w:szCs w:val="22"/>
        </w:rPr>
      </w:pPr>
      <w:r>
        <w:rPr>
          <w:sz w:val="22"/>
          <w:szCs w:val="22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>
      <w:pPr>
        <w:pStyle w:val="Normal"/>
        <w:spacing w:lineRule="auto" w:line="240" w:before="0" w:after="120"/>
        <w:ind w:left="360" w:hanging="0"/>
        <w:rPr>
          <w:sz w:val="22"/>
          <w:szCs w:val="22"/>
        </w:rPr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szCs w:val="22"/>
        </w:rPr>
        <w:instrText> FORMCHECKBOX </w:instrText>
      </w:r>
      <w:r>
        <w:rPr>
          <w:sz w:val="22"/>
          <w:szCs w:val="22"/>
        </w:rPr>
        <w:fldChar w:fldCharType="separate"/>
      </w:r>
      <w:bookmarkStart w:id="4" w:name="__Fieldmark__233_1864808850"/>
      <w:bookmarkStart w:id="5" w:name="__Fieldmark__233_1864808850"/>
      <w:bookmarkEnd w:id="5"/>
      <w:r>
        <w:rPr>
          <w:sz w:val="22"/>
          <w:szCs w:val="22"/>
        </w:rPr>
      </w:r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 Bez zmien </w:t>
      </w:r>
    </w:p>
    <w:p>
      <w:pPr>
        <w:pStyle w:val="Normal"/>
        <w:numPr>
          <w:ilvl w:val="0"/>
          <w:numId w:val="9"/>
        </w:numPr>
        <w:suppressAutoHyphens w:val="false"/>
        <w:spacing w:lineRule="auto" w:line="240" w:before="0" w:after="120"/>
        <w:ind w:left="360" w:hanging="360"/>
        <w:rPr>
          <w:sz w:val="22"/>
          <w:szCs w:val="22"/>
        </w:rPr>
      </w:pPr>
      <w:r>
        <w:rPr>
          <w:sz w:val="22"/>
          <w:szCs w:val="22"/>
        </w:rPr>
        <w:t>Spôsoby ocenenia jednotlivých položiek majetku a záväzkov.</w:t>
      </w:r>
    </w:p>
    <w:tbl>
      <w:tblPr>
        <w:tblW w:w="9812" w:type="dxa"/>
        <w:jc w:val="righ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295"/>
        <w:gridCol w:w="3516"/>
      </w:tblGrid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Majetok a záväzky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502" w:leader="none"/>
              </w:tabs>
              <w:spacing w:lineRule="auto" w:line="240" w:before="0" w:after="0"/>
              <w:ind w:left="357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502" w:leader="none"/>
              </w:tabs>
              <w:spacing w:lineRule="auto" w:line="240" w:before="0" w:after="0"/>
              <w:ind w:left="357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502" w:leader="none"/>
              </w:tabs>
              <w:spacing w:lineRule="auto" w:line="240" w:before="0" w:after="0"/>
              <w:ind w:left="357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502" w:leader="none"/>
              </w:tabs>
              <w:spacing w:lineRule="auto" w:line="240" w:before="0" w:after="0"/>
              <w:ind w:left="357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 príjmy budúcich období sa vykazujú vo výške, ktorá je potrebná na dodržanie zásady vecnej a časovej súvislosti s účtovným obdobím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502" w:leader="none"/>
              </w:tabs>
              <w:spacing w:lineRule="auto" w:line="240" w:before="0" w:after="0"/>
              <w:ind w:left="357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502" w:leader="none"/>
              </w:tabs>
              <w:spacing w:lineRule="auto" w:line="240" w:before="0" w:after="0"/>
              <w:ind w:left="357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 výnosy budúcich období sa vykazuj vo výške, ktorá je potrebná na dodržanie zásady vecnej a časovej súvislosti s účtovným obdobím</w:t>
            </w:r>
          </w:p>
        </w:tc>
      </w:tr>
    </w:tbl>
    <w:p>
      <w:pPr>
        <w:pStyle w:val="Normal"/>
        <w:suppressAutoHyphens w:val="false"/>
        <w:spacing w:lineRule="auto" w:line="240" w:before="0" w:after="12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9"/>
        </w:numPr>
        <w:suppressAutoHyphens w:val="false"/>
        <w:spacing w:lineRule="auto" w:line="240" w:before="0" w:after="120"/>
        <w:ind w:left="360" w:hanging="360"/>
        <w:rPr>
          <w:sz w:val="22"/>
          <w:szCs w:val="22"/>
        </w:rPr>
      </w:pPr>
      <w:r>
        <w:rPr>
          <w:sz w:val="22"/>
          <w:szCs w:val="22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4800" w:type="pct"/>
        <w:jc w:val="left"/>
        <w:tblInd w:w="34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0"/>
        <w:gridCol w:w="2392"/>
        <w:gridCol w:w="2392"/>
        <w:gridCol w:w="2403"/>
      </w:tblGrid>
      <w:tr>
        <w:trPr>
          <w:trHeight w:val="284" w:hRule="atLeast"/>
        </w:trPr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elotextu"/>
              <w:widowControl w:val="false"/>
              <w:jc w:val="left"/>
              <w:rPr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Druh dlhodobého majetku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elotextu"/>
              <w:widowControl w:val="false"/>
              <w:jc w:val="center"/>
              <w:rPr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Doba odpisovania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elotextu"/>
              <w:widowControl w:val="false"/>
              <w:jc w:val="center"/>
              <w:rPr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Sadzba odpisov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lotextu"/>
              <w:widowControl w:val="false"/>
              <w:jc w:val="center"/>
              <w:rPr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elotextu"/>
              <w:widowControl w:val="false"/>
              <w:rPr>
                <w:sz w:val="22"/>
                <w:szCs w:val="22"/>
              </w:rPr>
            </w:pPr>
            <w:r>
              <w:rPr>
                <w:rFonts w:cs="Arial" w:ascii="Arial Narrow" w:hAnsi="Arial Narrow"/>
                <w:bCs/>
                <w:sz w:val="22"/>
                <w:szCs w:val="22"/>
                <w:lang w:val="sk-SK"/>
              </w:rPr>
              <w:t>Samostatné hnuteľné veci a súbory hnuteľných vecí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elotextu"/>
              <w:widowControl w:val="false"/>
              <w:jc w:val="center"/>
              <w:rPr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 rokov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elotextu"/>
              <w:widowControl w:val="false"/>
              <w:jc w:val="center"/>
              <w:rPr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1/8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lotextu"/>
              <w:widowControl w:val="false"/>
              <w:jc w:val="center"/>
              <w:rPr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  <w:lang w:val="sk-SK"/>
              </w:rPr>
              <w:t xml:space="preserve">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rovnomerná</w:t>
            </w:r>
          </w:p>
        </w:tc>
      </w:tr>
    </w:tbl>
    <w:p>
      <w:pPr>
        <w:pStyle w:val="Normal"/>
        <w:suppressAutoHyphens w:val="false"/>
        <w:spacing w:lineRule="auto" w:line="240" w:before="0" w:after="12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uppressAutoHyphens w:val="false"/>
        <w:spacing w:lineRule="auto" w:line="240" w:before="0" w:after="12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uppressAutoHyphens w:val="false"/>
        <w:spacing w:lineRule="auto" w:line="240" w:before="0" w:after="12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ind w:left="8496" w:firstLine="708"/>
        <w:rPr>
          <w:b/>
          <w:b/>
          <w:i/>
          <w:i/>
          <w:sz w:val="22"/>
          <w:szCs w:val="22"/>
        </w:rPr>
      </w:pPr>
      <w:r>
        <w:rPr>
          <w:sz w:val="22"/>
          <w:szCs w:val="22"/>
        </w:rPr>
        <w:t>Strana 8</w:t>
      </w:r>
    </w:p>
    <w:p>
      <w:pPr>
        <w:pStyle w:val="Normal"/>
        <w:numPr>
          <w:ilvl w:val="0"/>
          <w:numId w:val="10"/>
        </w:numPr>
        <w:suppressAutoHyphens w:val="false"/>
        <w:spacing w:lineRule="auto" w:line="240" w:before="0" w:after="120"/>
        <w:ind w:left="360" w:hanging="360"/>
        <w:rPr>
          <w:sz w:val="22"/>
          <w:szCs w:val="22"/>
        </w:rPr>
      </w:pPr>
      <w:r>
        <w:rPr>
          <w:sz w:val="22"/>
          <w:szCs w:val="22"/>
        </w:rPr>
        <w:t xml:space="preserve">Zásady pre zohľadnenie zníženia hodnoty majetku. Uvádza sa, či účtovná jednotka uplatňuje opravné položky a rezervy.  </w:t>
      </w:r>
    </w:p>
    <w:p>
      <w:pPr>
        <w:pStyle w:val="Normal"/>
        <w:spacing w:lineRule="auto" w:line="240" w:before="0" w:after="120"/>
        <w:ind w:firstLine="360"/>
        <w:rPr>
          <w:sz w:val="22"/>
          <w:szCs w:val="22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szCs w:val="22"/>
        </w:rPr>
        <w:instrText> FORMCHECKBOX </w:instrText>
      </w:r>
      <w:r>
        <w:rPr>
          <w:sz w:val="22"/>
          <w:szCs w:val="22"/>
        </w:rPr>
        <w:fldChar w:fldCharType="separate"/>
      </w:r>
      <w:bookmarkStart w:id="6" w:name="__Fieldmark__316_1864808850"/>
      <w:bookmarkStart w:id="7" w:name="__Fieldmark__316_1864808850"/>
      <w:bookmarkEnd w:id="7"/>
      <w:r>
        <w:rPr>
          <w:sz w:val="22"/>
          <w:szCs w:val="22"/>
        </w:rPr>
      </w:r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 ÁNO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szCs w:val="22"/>
          <w:bCs/>
          <w:rFonts w:cs="Tahoma"/>
        </w:rPr>
        <w:instrText> FORMCHECKBOX </w:instrText>
      </w:r>
      <w:r>
        <w:rPr>
          <w:sz w:val="22"/>
          <w:szCs w:val="22"/>
          <w:bCs/>
          <w:rFonts w:cs="Tahoma"/>
        </w:rPr>
        <w:fldChar w:fldCharType="separate"/>
      </w:r>
      <w:bookmarkStart w:id="8" w:name="__Fieldmark__321_1864808850"/>
      <w:bookmarkStart w:id="9" w:name="__Fieldmark__321_1864808850"/>
      <w:bookmarkEnd w:id="9"/>
      <w:r>
        <w:rPr>
          <w:rFonts w:cs="Tahoma"/>
          <w:bCs/>
          <w:sz w:val="22"/>
          <w:szCs w:val="22"/>
        </w:rPr>
      </w:r>
      <w:r>
        <w:rPr>
          <w:sz w:val="22"/>
          <w:szCs w:val="22"/>
          <w:bCs/>
          <w:rFonts w:cs="Tahoma"/>
        </w:rPr>
        <w:fldChar w:fldCharType="end"/>
      </w:r>
      <w:r>
        <w:rPr>
          <w:rFonts w:cs="Tahoma"/>
          <w:bCs/>
          <w:sz w:val="22"/>
          <w:szCs w:val="22"/>
        </w:rPr>
        <w:t xml:space="preserve">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 w:val="true"/>
        <w:spacing w:lineRule="auto" w:line="240" w:before="0" w:after="0"/>
        <w:jc w:val="center"/>
        <w:rPr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III</w:t>
      </w:r>
    </w:p>
    <w:p>
      <w:pPr>
        <w:pStyle w:val="Normal"/>
        <w:keepNext w:val="true"/>
        <w:spacing w:lineRule="auto" w:line="240" w:before="0" w:after="120"/>
        <w:jc w:val="center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>
      <w:pPr>
        <w:pStyle w:val="Normal"/>
        <w:keepNext w:val="true"/>
        <w:spacing w:lineRule="auto" w:line="240" w:before="0" w:after="12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11"/>
        </w:numPr>
        <w:suppressAutoHyphens w:val="false"/>
        <w:spacing w:lineRule="auto" w:line="240" w:before="0" w:after="120"/>
        <w:ind w:left="360" w:hanging="360"/>
        <w:rPr>
          <w:sz w:val="22"/>
          <w:szCs w:val="22"/>
        </w:rPr>
      </w:pPr>
      <w:r>
        <w:rPr>
          <w:sz w:val="22"/>
          <w:szCs w:val="22"/>
        </w:rPr>
        <w:t xml:space="preserve">Opis významných súm pohľadávok v nadväznosti na položky súvahy, v členení na pohľadávky za hlavnú nezdaňovanú činnosť a zdaňovanú činnosť za bežné účtovné obdobie. </w:t>
      </w:r>
    </w:p>
    <w:tbl>
      <w:tblPr>
        <w:tblW w:w="9922" w:type="dxa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0"/>
        <w:gridCol w:w="3119"/>
        <w:gridCol w:w="2693"/>
      </w:tblGrid>
      <w:tr>
        <w:trPr/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>
        <w:trPr/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 – dobropis od SPP a Terming – preplatok plyn a voda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5 844,38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Normal"/>
        <w:suppressAutoHyphens w:val="false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(8) Prehľad pohľadávok do uplynutia lehoty splatnosti a po uplynutí lehoty splatnosti.</w:t>
      </w:r>
    </w:p>
    <w:tbl>
      <w:tblPr>
        <w:tblW w:w="9384" w:type="dxa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4"/>
        <w:gridCol w:w="3050"/>
        <w:gridCol w:w="3500"/>
      </w:tblGrid>
      <w:tr>
        <w:trPr/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cs="Calibri"/>
                <w:b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cs="Calibri"/>
                <w:b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cs="Calibri"/>
                <w:b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- do uplynutia lehoty splatnosti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6 048,72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6 385,63</w:t>
            </w:r>
          </w:p>
        </w:tc>
      </w:tr>
      <w:tr>
        <w:trPr/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- po uplynutí lehoty splatnosti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179,77</w:t>
            </w:r>
          </w:p>
        </w:tc>
      </w:tr>
      <w:tr>
        <w:trPr/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cs="Calibri"/>
                <w:b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6 048,72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6 565,40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Normal"/>
        <w:numPr>
          <w:ilvl w:val="0"/>
          <w:numId w:val="12"/>
        </w:numPr>
        <w:suppressAutoHyphens w:val="false"/>
        <w:spacing w:lineRule="auto" w:line="240" w:before="0" w:after="120"/>
        <w:ind w:left="360" w:hanging="360"/>
        <w:rPr>
          <w:sz w:val="22"/>
          <w:szCs w:val="22"/>
        </w:rPr>
      </w:pPr>
      <w:r>
        <w:rPr>
          <w:sz w:val="22"/>
          <w:szCs w:val="22"/>
        </w:rPr>
        <w:t>Opis a výška zmien vlastného imania v priebehu bežného účtovného obdobia podľa položiek súvahy.</w:t>
      </w:r>
    </w:p>
    <w:tbl>
      <w:tblPr>
        <w:tblW w:w="4800" w:type="pct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346"/>
        <w:gridCol w:w="1245"/>
        <w:gridCol w:w="1246"/>
        <w:gridCol w:w="1245"/>
        <w:gridCol w:w="1247"/>
        <w:gridCol w:w="1248"/>
      </w:tblGrid>
      <w:tr>
        <w:trPr>
          <w:trHeight w:val="284" w:hRule="atLeast"/>
        </w:trPr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957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>
        <w:trPr>
          <w:trHeight w:val="284" w:hRule="atLeast"/>
        </w:trPr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</w:tr>
      <w:tr>
        <w:trPr>
          <w:trHeight w:val="284" w:hRule="atLeast"/>
        </w:trPr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vklady zakladateľov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</w:tr>
      <w:tr>
        <w:trPr>
          <w:trHeight w:val="284" w:hRule="atLeast"/>
        </w:trPr>
        <w:tc>
          <w:tcPr>
            <w:tcW w:w="957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>
        <w:trPr>
          <w:trHeight w:val="284" w:hRule="atLeast"/>
        </w:trPr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Nevysporiadaný výsledok hospodárenia minulých rokov 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16632,14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12 258,89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28 891,03   </w:t>
            </w:r>
          </w:p>
        </w:tc>
      </w:tr>
      <w:tr>
        <w:trPr>
          <w:trHeight w:val="284" w:hRule="atLeast"/>
        </w:trPr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12 258,89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-6435,45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-12 258,89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- 6435,45</w:t>
            </w:r>
          </w:p>
        </w:tc>
      </w:tr>
      <w:tr>
        <w:trPr>
          <w:trHeight w:val="284" w:hRule="atLeast"/>
        </w:trPr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28 930,86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-6435,45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22 495,41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Normal"/>
        <w:spacing w:lineRule="auto" w:line="240" w:before="0" w:after="0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>
        <w:rPr>
          <w:rFonts w:cs="Calibri"/>
          <w:bCs/>
          <w:color w:val="000000"/>
          <w:sz w:val="22"/>
          <w:szCs w:val="22"/>
          <w:lang w:eastAsia="sk-SK"/>
        </w:rPr>
      </w:r>
    </w:p>
    <w:p>
      <w:pPr>
        <w:pStyle w:val="Normal"/>
        <w:spacing w:lineRule="auto" w:line="240" w:before="0" w:after="0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>
        <w:rPr>
          <w:rFonts w:cs="Calibri"/>
          <w:bCs/>
          <w:color w:val="000000"/>
          <w:sz w:val="22"/>
          <w:szCs w:val="22"/>
          <w:lang w:eastAsia="sk-SK"/>
        </w:rPr>
        <w:t>Strana 9</w:t>
      </w:r>
    </w:p>
    <w:p>
      <w:pPr>
        <w:pStyle w:val="Normal"/>
        <w:spacing w:lineRule="auto" w:line="240" w:before="0" w:after="0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>
        <w:rPr>
          <w:rFonts w:cs="Calibri"/>
          <w:bCs/>
          <w:color w:val="000000"/>
          <w:sz w:val="22"/>
          <w:szCs w:val="22"/>
          <w:lang w:eastAsia="sk-SK"/>
        </w:rPr>
      </w:r>
    </w:p>
    <w:p>
      <w:pPr>
        <w:pStyle w:val="Normal"/>
        <w:numPr>
          <w:ilvl w:val="0"/>
          <w:numId w:val="13"/>
        </w:numPr>
        <w:suppressAutoHyphens w:val="false"/>
        <w:spacing w:lineRule="auto" w:line="240" w:before="0" w:after="120"/>
        <w:ind w:left="360" w:hanging="360"/>
        <w:rPr>
          <w:sz w:val="22"/>
          <w:szCs w:val="22"/>
        </w:rPr>
      </w:pPr>
      <w:r>
        <w:rPr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850" w:type="pct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079"/>
        <w:gridCol w:w="3598"/>
      </w:tblGrid>
      <w:tr>
        <w:trPr>
          <w:trHeight w:val="765" w:hRule="atLeast"/>
        </w:trPr>
        <w:tc>
          <w:tcPr>
            <w:tcW w:w="6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keepNext w:val="true"/>
              <w:widowControl w:val="false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keepNext w:val="true"/>
              <w:widowControl w:val="false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>
        <w:trPr/>
        <w:tc>
          <w:tcPr>
            <w:tcW w:w="6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rPr>
                <w:b/>
                <w:b/>
                <w:bCs/>
                <w:i/>
                <w:i/>
                <w:sz w:val="22"/>
                <w:szCs w:val="22"/>
              </w:rPr>
            </w:pPr>
            <w:r>
              <w:rPr>
                <w:b/>
                <w:bCs/>
                <w:i/>
                <w:sz w:val="22"/>
                <w:szCs w:val="22"/>
              </w:rPr>
              <w:t>Účtovný zisk</w:t>
            </w:r>
          </w:p>
        </w:tc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12 258,89</w:t>
            </w:r>
          </w:p>
        </w:tc>
      </w:tr>
      <w:tr>
        <w:trPr/>
        <w:tc>
          <w:tcPr>
            <w:tcW w:w="6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12 258,89</w:t>
            </w:r>
          </w:p>
        </w:tc>
      </w:tr>
    </w:tbl>
    <w:p>
      <w:pPr>
        <w:pStyle w:val="Normal"/>
        <w:spacing w:lineRule="auto" w:line="240" w:before="0" w:after="120"/>
        <w:ind w:left="7788" w:firstLine="708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</w:t>
      </w:r>
    </w:p>
    <w:p>
      <w:pPr>
        <w:pStyle w:val="Normal"/>
        <w:numPr>
          <w:ilvl w:val="0"/>
          <w:numId w:val="14"/>
        </w:numPr>
        <w:suppressAutoHyphens w:val="false"/>
        <w:spacing w:lineRule="auto" w:line="240" w:before="0" w:after="120"/>
        <w:ind w:left="360" w:hanging="360"/>
        <w:rPr>
          <w:sz w:val="22"/>
          <w:szCs w:val="22"/>
        </w:rPr>
      </w:pPr>
      <w:r>
        <w:rPr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9802" w:type="dxa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139"/>
        <w:gridCol w:w="3119"/>
        <w:gridCol w:w="2544"/>
      </w:tblGrid>
      <w:tr>
        <w:trPr/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>
        <w:trPr/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 – Záväzky zo sociálneho fondu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3 587,39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>
        <w:trPr/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 – Záväzky voči zamestnancom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11 381,45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 – Zúčtovanie so Soc. Poisťovňou a zdrav. Poisťovňami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6 968,28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 – Daňové záväzky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1 776,44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(15) Prehľad záväzkov do uplynutia lehoty splatnosti a po uplynutí lehoty splatnosti</w:t>
      </w:r>
    </w:p>
    <w:tbl>
      <w:tblPr>
        <w:tblW w:w="4800" w:type="pct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85"/>
        <w:gridCol w:w="2491"/>
        <w:gridCol w:w="2502"/>
      </w:tblGrid>
      <w:tr>
        <w:trPr>
          <w:trHeight w:val="284" w:hRule="atLeast"/>
        </w:trPr>
        <w:tc>
          <w:tcPr>
            <w:tcW w:w="45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5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</w:tr>
      <w:tr>
        <w:trPr>
          <w:trHeight w:val="284" w:hRule="atLeast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26 928,53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28 434,01</w:t>
            </w:r>
          </w:p>
        </w:tc>
      </w:tr>
      <w:tr>
        <w:trPr>
          <w:trHeight w:val="284" w:hRule="atLeast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po lehote splatnosti 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26 928,53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28 434,01</w:t>
            </w:r>
          </w:p>
        </w:tc>
      </w:tr>
    </w:tbl>
    <w:p>
      <w:pPr>
        <w:pStyle w:val="Normal"/>
        <w:suppressAutoHyphens w:val="false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17"/>
        </w:numPr>
        <w:suppressAutoHyphens w:val="false"/>
        <w:spacing w:lineRule="auto" w:line="240" w:before="0" w:after="120"/>
        <w:ind w:left="360" w:hanging="360"/>
        <w:rPr>
          <w:sz w:val="22"/>
          <w:szCs w:val="22"/>
        </w:rPr>
      </w:pPr>
      <w:r>
        <w:rPr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4750" w:type="pct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670"/>
        <w:gridCol w:w="4808"/>
      </w:tblGrid>
      <w:tr>
        <w:trPr>
          <w:trHeight w:val="284" w:hRule="atLeast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Sociálny fond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3 689,41</w:t>
            </w:r>
          </w:p>
        </w:tc>
      </w:tr>
      <w:tr>
        <w:trPr>
          <w:trHeight w:val="284" w:hRule="atLeast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Tvorba na ťarchu nákladov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920,80</w:t>
            </w:r>
          </w:p>
        </w:tc>
      </w:tr>
      <w:tr>
        <w:trPr>
          <w:trHeight w:val="284" w:hRule="atLeast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Čerpanie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1 022,82</w:t>
            </w:r>
          </w:p>
        </w:tc>
      </w:tr>
      <w:tr>
        <w:trPr>
          <w:trHeight w:val="284" w:hRule="atLeast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3 587,39</w:t>
            </w:r>
          </w:p>
        </w:tc>
      </w:tr>
    </w:tbl>
    <w:p>
      <w:pPr>
        <w:pStyle w:val="Normal"/>
        <w:spacing w:lineRule="auto" w:line="240" w:before="0" w:after="120"/>
        <w:ind w:left="7788" w:firstLine="708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>
      <w:pPr>
        <w:pStyle w:val="Normal"/>
        <w:keepNext w:val="true"/>
        <w:suppressAutoHyphens w:val="false"/>
        <w:spacing w:lineRule="auto" w:line="240" w:before="0" w:after="120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(19) Prehľad </w:t>
      </w:r>
      <w:r>
        <w:rPr>
          <w:rFonts w:cs="Arial Narrow"/>
          <w:b/>
          <w:bCs/>
          <w:sz w:val="22"/>
          <w:szCs w:val="22"/>
          <w:lang w:eastAsia="sk-SK"/>
        </w:rPr>
        <w:t>výnosov budúcich období</w:t>
      </w:r>
      <w:r>
        <w:rPr>
          <w:rFonts w:cs="Arial Narrow"/>
          <w:sz w:val="22"/>
          <w:szCs w:val="22"/>
          <w:lang w:eastAsia="sk-SK"/>
        </w:rPr>
        <w:t xml:space="preserve"> v členení podľa jednotlivých druhov a v členení na dlhodobé výnosy budúcich    </w:t>
      </w:r>
    </w:p>
    <w:p>
      <w:pPr>
        <w:pStyle w:val="Normal"/>
        <w:keepNext w:val="true"/>
        <w:suppressAutoHyphens w:val="false"/>
        <w:spacing w:lineRule="auto" w:line="240" w:before="0" w:after="120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       </w:t>
      </w:r>
      <w:r>
        <w:rPr>
          <w:rFonts w:cs="Arial Narrow"/>
          <w:sz w:val="22"/>
          <w:szCs w:val="22"/>
          <w:lang w:eastAsia="sk-SK"/>
        </w:rPr>
        <w:t>období a krátkodobé výnosy budúcich období.</w:t>
      </w:r>
    </w:p>
    <w:tbl>
      <w:tblPr>
        <w:tblW w:w="9781" w:type="dxa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401"/>
        <w:gridCol w:w="3260"/>
        <w:gridCol w:w="3120"/>
      </w:tblGrid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left"/>
              <w:rPr>
                <w:rFonts w:cs="Arial Narrow"/>
                <w:b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dlhodobé z dôvodu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b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b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zostatku nepoužitej dotácie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</w:tr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3 501,66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2 995,30</w:t>
            </w:r>
          </w:p>
        </w:tc>
      </w:tr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left"/>
              <w:rPr>
                <w:rFonts w:cs="Arial Narrow"/>
                <w:b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3 501,66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2 995,30</w:t>
            </w:r>
          </w:p>
        </w:tc>
      </w:tr>
    </w:tbl>
    <w:p>
      <w:pPr>
        <w:pStyle w:val="Normal"/>
        <w:spacing w:lineRule="auto" w:line="240" w:before="0" w:after="120"/>
        <w:ind w:left="8496" w:hanging="0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          </w:t>
      </w:r>
      <w:r>
        <w:rPr>
          <w:iCs/>
          <w:sz w:val="22"/>
          <w:szCs w:val="22"/>
        </w:rPr>
        <w:t>Strana</w:t>
      </w:r>
      <w:r>
        <w:rPr>
          <w:i/>
          <w:sz w:val="22"/>
          <w:szCs w:val="22"/>
        </w:rPr>
        <w:t xml:space="preserve"> 10</w:t>
      </w:r>
    </w:p>
    <w:tbl>
      <w:tblPr>
        <w:tblW w:w="9781" w:type="dxa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401"/>
        <w:gridCol w:w="3260"/>
        <w:gridCol w:w="3120"/>
      </w:tblGrid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left"/>
              <w:rPr>
                <w:rFonts w:cs="Arial Narrow"/>
                <w:b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krátkodobé z dôvodu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b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b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zostatku nepoužitej dotácie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5 313,36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</w:tr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506,16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506,26</w:t>
            </w:r>
          </w:p>
        </w:tc>
      </w:tr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left"/>
              <w:rPr>
                <w:rFonts w:cs="Arial Narrow"/>
                <w:b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5 819,52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506,26</w:t>
            </w:r>
          </w:p>
        </w:tc>
      </w:tr>
    </w:tbl>
    <w:p>
      <w:pPr>
        <w:pStyle w:val="Normal"/>
        <w:spacing w:lineRule="auto" w:line="240" w:before="0" w:after="120"/>
        <w:ind w:left="7788" w:firstLine="708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</w:p>
    <w:p>
      <w:pPr>
        <w:pStyle w:val="Normal"/>
        <w:keepNext w:val="true"/>
        <w:spacing w:lineRule="auto" w:line="240" w:before="0" w:after="0"/>
        <w:jc w:val="center"/>
        <w:rPr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IV</w:t>
      </w:r>
    </w:p>
    <w:p>
      <w:pPr>
        <w:pStyle w:val="Normal"/>
        <w:keepNext w:val="true"/>
        <w:spacing w:lineRule="auto" w:line="240" w:before="0" w:after="120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5"/>
        </w:numPr>
        <w:suppressAutoHyphens w:val="false"/>
        <w:spacing w:lineRule="auto" w:line="240" w:before="0" w:after="120"/>
        <w:ind w:left="284" w:hanging="284"/>
        <w:rPr>
          <w:sz w:val="22"/>
          <w:szCs w:val="22"/>
        </w:rPr>
      </w:pPr>
      <w:r>
        <w:rPr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4800" w:type="pct"/>
        <w:jc w:val="right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3673"/>
        <w:gridCol w:w="2943"/>
        <w:gridCol w:w="2962"/>
      </w:tblGrid>
      <w:tr>
        <w:trPr>
          <w:trHeight w:val="284" w:hRule="atLeas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Nadpis3"/>
              <w:widowControl w:val="false"/>
              <w:spacing w:before="0" w:after="0"/>
              <w:rPr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Druh a opis tržieb 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Hlavná nezdaňovaná činnosť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Zdaňovaná činnosť</w:t>
            </w:r>
          </w:p>
        </w:tc>
      </w:tr>
      <w:tr>
        <w:trPr>
          <w:trHeight w:val="284" w:hRule="atLeas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602 - Úhrady za poskytovanie sociálnych služieb ZNB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8 937,28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284" w:hRule="atLeas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602 - Úhrady za poskytovanie sociálnych služieb Útulok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8 543,70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284" w:hRule="atLeas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602 – Tržby z predaja NOTABENE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53,60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284" w:hRule="atLeas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17 534,58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jc w:val="center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Normal"/>
        <w:suppressAutoHyphens w:val="false"/>
        <w:spacing w:lineRule="auto" w:line="240" w:before="0" w:after="120"/>
        <w:ind w:left="284" w:hanging="284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>(2)</w:t>
        <w:tab/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9922" w:type="dxa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66"/>
        <w:gridCol w:w="2469"/>
        <w:gridCol w:w="2887"/>
      </w:tblGrid>
      <w:tr>
        <w:trPr/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left"/>
              <w:rPr>
                <w:rFonts w:cs="Arial Narrow"/>
                <w:b/>
                <w:b/>
                <w:bCs/>
                <w:sz w:val="22"/>
                <w:szCs w:val="22"/>
                <w:highlight w:val="yellow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Druh a opis významných súm výnosov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b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b/>
                <w:b/>
                <w:bCs/>
                <w:sz w:val="22"/>
                <w:szCs w:val="22"/>
                <w:highlight w:val="yellow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662 - Prijaté príspevky od právnických osôb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7160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12200</w:t>
            </w:r>
          </w:p>
        </w:tc>
      </w:tr>
      <w:tr>
        <w:trPr/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663 – Prijaté príspevky od fyzických osôb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769,24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false"/>
              <w:spacing w:lineRule="auto" w:line="240" w:before="0" w:after="120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504,24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Normal"/>
        <w:numPr>
          <w:ilvl w:val="0"/>
          <w:numId w:val="16"/>
        </w:numPr>
        <w:suppressAutoHyphens w:val="false"/>
        <w:spacing w:lineRule="auto" w:line="240" w:before="0" w:after="120"/>
        <w:ind w:left="360" w:hanging="360"/>
        <w:rPr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r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4750" w:type="pct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391"/>
        <w:gridCol w:w="2613"/>
        <w:gridCol w:w="2475"/>
      </w:tblGrid>
      <w:tr>
        <w:trPr>
          <w:trHeight w:val="284" w:hRule="atLeast"/>
        </w:trPr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súm dotácií a grantov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MPSVR SR na bežné výdavky ZNB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171 975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171 975</w:t>
            </w:r>
          </w:p>
        </w:tc>
      </w:tr>
      <w:tr>
        <w:trPr>
          <w:trHeight w:val="284" w:hRule="atLeast"/>
        </w:trPr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MPSVR SR na bežné výdavky Útulok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108 950,04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111 855,60</w:t>
            </w:r>
          </w:p>
        </w:tc>
      </w:tr>
      <w:tr>
        <w:trPr>
          <w:trHeight w:val="284" w:hRule="atLeast"/>
        </w:trPr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Mesto Malacky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</w:tr>
      <w:tr>
        <w:trPr>
          <w:trHeight w:val="284" w:hRule="atLeast"/>
        </w:trPr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MPSVaR na energie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18 336,64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84" w:hRule="atLeast"/>
        </w:trPr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MPSVaR na odmeny 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7 774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84" w:hRule="atLeast"/>
        </w:trPr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Dotácie Spolu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307 035,68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left="36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>
              <w:rPr>
                <w:b/>
                <w:sz w:val="22"/>
                <w:szCs w:val="22"/>
              </w:rPr>
              <w:t xml:space="preserve">285 330,60     </w:t>
            </w:r>
          </w:p>
        </w:tc>
      </w:tr>
    </w:tbl>
    <w:p>
      <w:pPr>
        <w:pStyle w:val="Normal"/>
        <w:spacing w:lineRule="auto" w:line="240" w:before="0" w:after="120"/>
        <w:ind w:left="8496" w:hanging="0"/>
        <w:rPr>
          <w:b/>
          <w:b/>
          <w:i/>
          <w:i/>
          <w:sz w:val="22"/>
          <w:szCs w:val="22"/>
        </w:rPr>
      </w:pPr>
      <w:r>
        <w:rPr>
          <w:sz w:val="22"/>
          <w:szCs w:val="22"/>
        </w:rPr>
        <w:t xml:space="preserve">             </w:t>
      </w:r>
      <w:r>
        <w:rPr>
          <w:sz w:val="22"/>
          <w:szCs w:val="22"/>
        </w:rPr>
        <w:t>Strana 11</w:t>
      </w:r>
    </w:p>
    <w:p>
      <w:pPr>
        <w:pStyle w:val="Normal"/>
        <w:numPr>
          <w:ilvl w:val="0"/>
          <w:numId w:val="18"/>
        </w:numPr>
        <w:spacing w:lineRule="auto" w:line="240" w:before="0" w:after="120"/>
        <w:ind w:left="360" w:hanging="360"/>
        <w:rPr>
          <w:sz w:val="22"/>
          <w:szCs w:val="22"/>
        </w:rPr>
      </w:pPr>
      <w:r>
        <w:rPr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465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024"/>
        <w:gridCol w:w="2155"/>
        <w:gridCol w:w="2100"/>
      </w:tblGrid>
      <w:tr>
        <w:trPr>
          <w:trHeight w:val="284" w:hRule="atLeast"/>
        </w:trPr>
        <w:tc>
          <w:tcPr>
            <w:tcW w:w="5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5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501 - Spotreba materiálu – kancelárske, hygienické, odborná literatúra, drobný hmotný majetok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20 163,59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17 220,69</w:t>
            </w:r>
          </w:p>
        </w:tc>
      </w:tr>
      <w:tr>
        <w:trPr>
          <w:trHeight w:val="284" w:hRule="atLeast"/>
        </w:trPr>
        <w:tc>
          <w:tcPr>
            <w:tcW w:w="5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502 - Spotreba energie – plyn, elektrina, voda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50 006,20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37 976,93</w:t>
            </w:r>
          </w:p>
        </w:tc>
      </w:tr>
      <w:tr>
        <w:trPr>
          <w:trHeight w:val="284" w:hRule="atLeast"/>
        </w:trPr>
        <w:tc>
          <w:tcPr>
            <w:tcW w:w="5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511 - Opravy a udržiavanie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7 353,20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16 472,59</w:t>
            </w:r>
          </w:p>
        </w:tc>
      </w:tr>
      <w:tr>
        <w:trPr>
          <w:trHeight w:val="284" w:hRule="atLeast"/>
        </w:trPr>
        <w:tc>
          <w:tcPr>
            <w:tcW w:w="5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518 - Ostatné služby – mobilný telefón, školenia, poštovné, audit, vývoz odpadu, deratizácia, softvér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13 255,71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16 827,62</w:t>
            </w:r>
          </w:p>
        </w:tc>
      </w:tr>
      <w:tr>
        <w:trPr>
          <w:trHeight w:val="284" w:hRule="atLeast"/>
        </w:trPr>
        <w:tc>
          <w:tcPr>
            <w:tcW w:w="5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521 - Mzdové náklady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170 141,19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174 061,32</w:t>
            </w:r>
          </w:p>
        </w:tc>
      </w:tr>
      <w:tr>
        <w:trPr>
          <w:trHeight w:val="284" w:hRule="atLeast"/>
        </w:trPr>
        <w:tc>
          <w:tcPr>
            <w:tcW w:w="5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524 - Zákonné sociálne poistenie a zdravotné poistenie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57 364,93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58 938,37</w:t>
            </w:r>
          </w:p>
        </w:tc>
      </w:tr>
      <w:tr>
        <w:trPr>
          <w:trHeight w:val="284" w:hRule="atLeast"/>
        </w:trPr>
        <w:tc>
          <w:tcPr>
            <w:tcW w:w="5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527 - Zákonné sociálne náklady /tvorba sociálneho fondu, príspevok zamestnávateľa na stravovanie zamestnancov/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8 122,24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8 753,76</w:t>
            </w:r>
          </w:p>
        </w:tc>
      </w:tr>
      <w:tr>
        <w:trPr>
          <w:trHeight w:val="284" w:hRule="atLeast"/>
        </w:trPr>
        <w:tc>
          <w:tcPr>
            <w:tcW w:w="5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543 – Odpísanie pohľadávky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2 226,50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5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 – Ostatné náklady – bankové poplatky, poistenie majetku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957, 62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513,84</w:t>
            </w:r>
          </w:p>
        </w:tc>
      </w:tr>
      <w:tr>
        <w:trPr>
          <w:trHeight w:val="284" w:hRule="atLeast"/>
        </w:trPr>
        <w:tc>
          <w:tcPr>
            <w:tcW w:w="5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551 - Odpisy dlhodobého hmotného majetku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42,18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506,26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numPr>
          <w:ilvl w:val="0"/>
          <w:numId w:val="18"/>
        </w:numPr>
        <w:spacing w:lineRule="auto" w:line="240" w:before="0" w:after="120"/>
        <w:ind w:left="360" w:hanging="360"/>
        <w:rPr>
          <w:b/>
          <w:b/>
          <w:bCs/>
          <w:sz w:val="22"/>
          <w:szCs w:val="22"/>
        </w:rPr>
      </w:pPr>
      <w:r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</w:t>
      </w:r>
    </w:p>
    <w:tbl>
      <w:tblPr>
        <w:tblW w:w="4450" w:type="pct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453"/>
        <w:gridCol w:w="2214"/>
        <w:gridCol w:w="2213"/>
      </w:tblGrid>
      <w:tr>
        <w:trPr>
          <w:trHeight w:val="284" w:hRule="atLeast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Rekonštrukcia vykurovacieho systému</w:t>
            </w:r>
          </w:p>
        </w:tc>
        <w:tc>
          <w:tcPr>
            <w:tcW w:w="2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8 460,25</w:t>
            </w:r>
          </w:p>
        </w:tc>
      </w:tr>
      <w:tr>
        <w:trPr>
          <w:trHeight w:val="284" w:hRule="atLeast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Zostatok podielu </w:t>
            </w:r>
          </w:p>
        </w:tc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</w:r>
    </w:p>
    <w:p>
      <w:pPr>
        <w:pStyle w:val="Normal"/>
        <w:spacing w:lineRule="auto" w:line="240" w:before="0" w:after="0"/>
        <w:ind w:left="3540" w:firstLine="708"/>
        <w:rPr>
          <w:b/>
          <w:b/>
          <w:bCs/>
          <w:kern w:val="2"/>
          <w:sz w:val="22"/>
          <w:szCs w:val="22"/>
        </w:rPr>
      </w:pPr>
      <w:r>
        <w:rPr>
          <w:bCs/>
          <w:iCs/>
          <w:sz w:val="22"/>
          <w:szCs w:val="22"/>
        </w:rPr>
        <w:t xml:space="preserve">      </w:t>
      </w:r>
      <w:r>
        <w:rPr>
          <w:b/>
          <w:bCs/>
          <w:kern w:val="2"/>
          <w:sz w:val="22"/>
          <w:szCs w:val="22"/>
        </w:rPr>
        <w:t>Čl. 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>
      <w:pPr>
        <w:pStyle w:val="Normal"/>
        <w:spacing w:lineRule="auto" w:line="240" w:before="0" w:after="120"/>
        <w:rPr>
          <w:rFonts w:cs="Tahoma"/>
          <w:bCs/>
          <w:sz w:val="22"/>
          <w:szCs w:val="22"/>
        </w:rPr>
      </w:pPr>
      <w:r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položky. </w:t>
      </w:r>
    </w:p>
    <w:tbl>
      <w:tblPr>
        <w:tblW w:w="9922" w:type="dxa"/>
        <w:jc w:val="left"/>
        <w:tblInd w:w="39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61"/>
        <w:gridCol w:w="3260"/>
      </w:tblGrid>
      <w:tr>
        <w:trPr/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0" w:after="120"/>
              <w:jc w:val="left"/>
              <w:rPr>
                <w:b/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 xml:space="preserve">Významné položky na podsúvahových účtoch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>
        <w:trPr/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 podsúvahové účty:</w:t>
            </w:r>
          </w:p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významné sumy obstarané v roku 2023: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83 257,62</w:t>
            </w:r>
          </w:p>
        </w:tc>
      </w:tr>
      <w:tr>
        <w:trPr/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Kancelárska zostava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</w:t>
            </w:r>
          </w:p>
        </w:tc>
      </w:tr>
      <w:tr>
        <w:trPr/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Regály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792</w:t>
            </w:r>
          </w:p>
        </w:tc>
      </w:tr>
      <w:tr>
        <w:trPr/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Kotle – 2x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2 383,80</w:t>
            </w:r>
          </w:p>
        </w:tc>
      </w:tr>
      <w:tr>
        <w:trPr/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Rúry na rekonštrukciu kúrenia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3 235,24</w:t>
            </w:r>
          </w:p>
        </w:tc>
      </w:tr>
    </w:tbl>
    <w:p>
      <w:pPr>
        <w:pStyle w:val="Normal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240" w:after="120"/>
        <w:jc w:val="center"/>
        <w:outlineLvl w:val="1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>
      <w:pPr>
        <w:pStyle w:val="Normal"/>
        <w:keepNext w:val="true"/>
        <w:spacing w:lineRule="auto" w:line="240" w:before="0" w:after="120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Po 31.12.2023 nenastali také skutočnosti, ktoré by si vyžadovali zverejnenie, alebo vykázanie v účtovnej závierke za rok 2023.</w:t>
      </w:r>
    </w:p>
    <w:p>
      <w:pPr>
        <w:pStyle w:val="Normal"/>
        <w:spacing w:lineRule="auto" w:line="240" w:before="0" w:after="0"/>
        <w:ind w:left="8496" w:hanging="0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>
        <w:rPr>
          <w:sz w:val="22"/>
          <w:szCs w:val="22"/>
        </w:rPr>
        <w:t>Strana 12</w:t>
      </w:r>
    </w:p>
    <w:sectPr>
      <w:headerReference w:type="default" r:id="rId2"/>
      <w:footerReference w:type="default" r:id="rId3"/>
      <w:type w:val="nextPage"/>
      <w:pgSz w:w="11906" w:h="16838"/>
      <w:pgMar w:left="964" w:right="964" w:gutter="0" w:header="709" w:top="1021" w:footer="454" w:bottom="1021"/>
      <w:pgNumType w:start="1" w:fmt="decimal"/>
      <w:formProt w:val="false"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>
        <w:lang w:val="sk-SK"/>
      </w:rPr>
    </w:pPr>
    <w:r>
      <w:rPr>
        <w:lang w:val="sk-SK"/>
      </w:rPr>
    </w:r>
  </w:p>
  <w:p>
    <w:pPr>
      <w:pStyle w:val="Pta"/>
      <w:spacing w:before="120" w:after="12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spacing w:before="120" w:after="12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tabs>
          <w:tab w:val="num" w:pos="0"/>
        </w:tabs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K bodu %1"/>
      <w:lvlJc w:val="left"/>
      <w:pPr>
        <w:tabs>
          <w:tab w:val="num" w:pos="0"/>
        </w:tabs>
        <w:ind w:left="0" w:hanging="0"/>
      </w:pPr>
      <w:rPr>
        <w:i w:val="false"/>
        <w:b/>
        <w:iCs w:val="false"/>
        <w:bCs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 w:color="000000"/>
        <w:b w:val="false"/>
        <w:kern w:val="0"/>
        <w:szCs w:val="24"/>
        <w:iCs w:val="false"/>
        <w:bCs w:val="false"/>
        <w:w w:val="100"/>
        <w:vanish w:val="false"/>
        <w:rFonts w:ascii="Arial Narrow" w:hAnsi="Arial Narrow" w:cs="Times New Roman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decimal"/>
      <w:lvlText w:val="(%1)"/>
      <w:lvlJc w:val="left"/>
      <w:pPr>
        <w:tabs>
          <w:tab w:val="num" w:pos="0"/>
        </w:tabs>
        <w:ind w:left="0" w:hanging="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lvl w:ilvl="0">
      <w:start w:val="5"/>
      <w:numFmt w:val="decimal"/>
      <w:lvlText w:val="(%1)"/>
      <w:lvlJc w:val="left"/>
      <w:pPr>
        <w:tabs>
          <w:tab w:val="num" w:pos="0"/>
        </w:tabs>
        <w:ind w:left="720" w:hanging="360"/>
      </w:pPr>
      <w:rPr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1">
    <w:lvl w:ilvl="0">
      <w:start w:val="7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>
    <w:lvl w:ilvl="0">
      <w:start w:val="10"/>
      <w:numFmt w:val="decimal"/>
      <w:lvlText w:val="(%1)"/>
      <w:lvlJc w:val="left"/>
      <w:pPr>
        <w:tabs>
          <w:tab w:val="num" w:pos="0"/>
        </w:tabs>
        <w:ind w:left="720" w:hanging="360"/>
      </w:pPr>
      <w:rPr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>
    <w:lvl w:ilvl="0">
      <w:start w:val="12"/>
      <w:numFmt w:val="decimal"/>
      <w:lvlText w:val="(%1)"/>
      <w:lvlJc w:val="left"/>
      <w:pPr>
        <w:tabs>
          <w:tab w:val="num" w:pos="0"/>
        </w:tabs>
        <w:ind w:left="720" w:hanging="360"/>
      </w:pPr>
      <w:rPr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>
    <w:lvl w:ilvl="0">
      <w:start w:val="14"/>
      <w:numFmt w:val="decimal"/>
      <w:lvlText w:val="(%1)"/>
      <w:lvlJc w:val="left"/>
      <w:pPr>
        <w:tabs>
          <w:tab w:val="num" w:pos="0"/>
        </w:tabs>
        <w:ind w:left="720" w:hanging="360"/>
      </w:pPr>
      <w:rPr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6">
    <w:lvl w:ilvl="0">
      <w:start w:val="3"/>
      <w:numFmt w:val="decimal"/>
      <w:lvlText w:val="(%1)"/>
      <w:lvlJc w:val="left"/>
      <w:pPr>
        <w:tabs>
          <w:tab w:val="num" w:pos="0"/>
        </w:tabs>
        <w:ind w:left="720" w:hanging="360"/>
      </w:pPr>
      <w:rPr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>
    <w:lvl w:ilvl="0">
      <w:start w:val="16"/>
      <w:numFmt w:val="decimal"/>
      <w:lvlText w:val="(%1)"/>
      <w:lvlJc w:val="left"/>
      <w:pPr>
        <w:tabs>
          <w:tab w:val="num" w:pos="0"/>
        </w:tabs>
        <w:ind w:left="720" w:hanging="360"/>
      </w:pPr>
      <w:rPr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>
    <w:lvl w:ilvl="0">
      <w:start w:val="5"/>
      <w:numFmt w:val="decimal"/>
      <w:lvlText w:val="(%1)"/>
      <w:lvlJc w:val="left"/>
      <w:pPr>
        <w:tabs>
          <w:tab w:val="num" w:pos="0"/>
        </w:tabs>
        <w:ind w:left="720" w:hanging="360"/>
      </w:pPr>
      <w:rPr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360" w:before="120" w:after="120"/>
      <w:jc w:val="both"/>
    </w:pPr>
    <w:rPr>
      <w:rFonts w:ascii="Arial Narrow" w:hAnsi="Arial Narrow" w:cs="Arial" w:eastAsia="Times New Roman"/>
      <w:color w:val="auto"/>
      <w:kern w:val="0"/>
      <w:sz w:val="20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rFonts w:ascii="Cambria" w:hAnsi="Cambria" w:cs="Times New Roman"/>
      <w:b/>
      <w:bCs/>
      <w:kern w:val="2"/>
      <w:sz w:val="32"/>
      <w:szCs w:val="32"/>
      <w:lang w:val="x-none"/>
    </w:rPr>
  </w:style>
  <w:style w:type="paragraph" w:styleId="Nadpis2">
    <w:name w:val="Heading 2"/>
    <w:basedOn w:val="Normal"/>
    <w:next w:val="Normal"/>
    <w:qFormat/>
    <w:pPr>
      <w:keepNext w:val="true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al"/>
    <w:next w:val="Normal"/>
    <w:qFormat/>
    <w:pPr>
      <w:keepNext w:val="true"/>
      <w:spacing w:lineRule="auto" w:line="240" w:before="240" w:after="60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Arial" w:hAnsi="Arial" w:cs="Arial"/>
      <w:b/>
      <w:bCs/>
      <w:i w:val="false"/>
      <w:iCs w:val="false"/>
      <w:sz w:val="24"/>
      <w:szCs w:val="24"/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sz w:val="16"/>
      <w:szCs w:val="16"/>
    </w:rPr>
  </w:style>
  <w:style w:type="character" w:styleId="WW8Num3z0" w:customStyle="1">
    <w:name w:val="WW8Num3z0"/>
    <w:qFormat/>
    <w:rPr>
      <w:rFonts w:cs="Times New Roman"/>
      <w:b/>
      <w:bCs/>
      <w:i w:val="false"/>
      <w:iCs w:val="false"/>
    </w:rPr>
  </w:style>
  <w:style w:type="character" w:styleId="WW8Num4z0" w:customStyle="1">
    <w:name w:val="WW8Num4z0"/>
    <w:qFormat/>
    <w:rPr>
      <w:rFonts w:ascii="Arial Narrow" w:hAnsi="Arial Narrow" w:cs="Arial"/>
    </w:rPr>
  </w:style>
  <w:style w:type="character" w:styleId="WW8Num5z0" w:customStyle="1">
    <w:name w:val="WW8Num5z0"/>
    <w:qFormat/>
    <w:rPr/>
  </w:style>
  <w:style w:type="character" w:styleId="WW8Num6z0" w:customStyle="1">
    <w:name w:val="WW8Num6z0"/>
    <w:qFormat/>
    <w:rPr/>
  </w:style>
  <w:style w:type="character" w:styleId="WW8Num7z0" w:customStyle="1">
    <w:name w:val="WW8Num7z0"/>
    <w:qFormat/>
    <w:rPr>
      <w:rFonts w:ascii="Arial Narrow" w:hAnsi="Arial Narrow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0"/>
      <w:position w:val="0"/>
      <w:sz w:val="24"/>
      <w:sz w:val="24"/>
      <w:szCs w:val="24"/>
      <w:u w:val="none" w:color="000000"/>
      <w:vertAlign w:val="baseline"/>
    </w:rPr>
  </w:style>
  <w:style w:type="character" w:styleId="WW8Num8z0" w:customStyle="1">
    <w:name w:val="WW8Num8z0"/>
    <w:qFormat/>
    <w:rPr>
      <w:rFonts w:ascii="Symbol" w:hAnsi="Symbol" w:cs="Symbol"/>
    </w:rPr>
  </w:style>
  <w:style w:type="character" w:styleId="WW8Num9z0" w:customStyle="1">
    <w:name w:val="WW8Num9z0"/>
    <w:qFormat/>
    <w:rPr>
      <w:rFonts w:cs="Times New Roman"/>
    </w:rPr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cs="Times New Roman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2" w:customStyle="1">
    <w:name w:val="WW8Num3z2"/>
    <w:qFormat/>
    <w:rPr>
      <w:rFonts w:ascii="Wingdings" w:hAnsi="Wingdings" w:cs="Wingdings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cs="Times New Roman"/>
      <w:b w:val="false"/>
      <w:bCs w:val="false"/>
      <w:i w:val="false"/>
      <w:iCs w:val="false"/>
    </w:rPr>
  </w:style>
  <w:style w:type="character" w:styleId="WW8Num5z2" w:customStyle="1">
    <w:name w:val="WW8Num5z2"/>
    <w:qFormat/>
    <w:rPr>
      <w:rFonts w:cs="Times New Roman"/>
    </w:rPr>
  </w:style>
  <w:style w:type="character" w:styleId="WW8Num6z1" w:customStyle="1">
    <w:name w:val="WW8Num6z1"/>
    <w:qFormat/>
    <w:rPr/>
  </w:style>
  <w:style w:type="character" w:styleId="WW8Num6z2" w:customStyle="1">
    <w:name w:val="WW8Num6z2"/>
    <w:qFormat/>
    <w:rPr/>
  </w:style>
  <w:style w:type="character" w:styleId="WW8Num6z3" w:customStyle="1">
    <w:name w:val="WW8Num6z3"/>
    <w:qFormat/>
    <w:rPr/>
  </w:style>
  <w:style w:type="character" w:styleId="WW8Num6z4" w:customStyle="1">
    <w:name w:val="WW8Num6z4"/>
    <w:qFormat/>
    <w:rPr/>
  </w:style>
  <w:style w:type="character" w:styleId="WW8Num6z5" w:customStyle="1">
    <w:name w:val="WW8Num6z5"/>
    <w:qFormat/>
    <w:rPr/>
  </w:style>
  <w:style w:type="character" w:styleId="WW8Num6z6" w:customStyle="1">
    <w:name w:val="WW8Num6z6"/>
    <w:qFormat/>
    <w:rPr/>
  </w:style>
  <w:style w:type="character" w:styleId="WW8Num6z7" w:customStyle="1">
    <w:name w:val="WW8Num6z7"/>
    <w:qFormat/>
    <w:rPr/>
  </w:style>
  <w:style w:type="character" w:styleId="WW8Num6z8" w:customStyle="1">
    <w:name w:val="WW8Num6z8"/>
    <w:qFormat/>
    <w:rPr/>
  </w:style>
  <w:style w:type="character" w:styleId="WW8Num7z1" w:customStyle="1">
    <w:name w:val="WW8Num7z1"/>
    <w:qFormat/>
    <w:rPr>
      <w:rFonts w:cs="Times New Roman"/>
    </w:rPr>
  </w:style>
  <w:style w:type="character" w:styleId="WW8Num8z1" w:customStyle="1">
    <w:name w:val="WW8Num8z1"/>
    <w:qFormat/>
    <w:rPr>
      <w:rFonts w:ascii="Courier New" w:hAnsi="Courier New" w:cs="Courier New"/>
    </w:rPr>
  </w:style>
  <w:style w:type="character" w:styleId="WW8Num8z2" w:customStyle="1">
    <w:name w:val="WW8Num8z2"/>
    <w:qFormat/>
    <w:rPr>
      <w:rFonts w:ascii="Wingdings" w:hAnsi="Wingdings" w:cs="Wingdings"/>
    </w:rPr>
  </w:style>
  <w:style w:type="character" w:styleId="WW8Num9z1" w:customStyle="1">
    <w:name w:val="WW8Num9z1"/>
    <w:qFormat/>
    <w:rPr>
      <w:rFonts w:cs="Times New Roman"/>
    </w:rPr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rFonts w:ascii="Cambria" w:hAnsi="Cambria" w:cs="Cambria"/>
      <w:b/>
      <w:bCs/>
      <w:kern w:val="2"/>
      <w:sz w:val="32"/>
      <w:szCs w:val="32"/>
      <w:lang w:val="x-none"/>
    </w:rPr>
  </w:style>
  <w:style w:type="character" w:styleId="Nadpis2Char" w:customStyle="1">
    <w:name w:val="Nadpis 2 Char"/>
    <w:qFormat/>
    <w:rPr>
      <w:rFonts w:ascii="Cambria" w:hAnsi="Cambria" w:eastAsia="Times New Roman" w:cs="Times New Roman"/>
      <w:b/>
      <w:bCs/>
      <w:i/>
      <w:iCs/>
      <w:sz w:val="28"/>
      <w:szCs w:val="28"/>
      <w:lang w:val="x-none"/>
    </w:rPr>
  </w:style>
  <w:style w:type="character" w:styleId="TltlnzovChar115ptAntiqueOliveNiejeTun" w:customStyle="1">
    <w:name w:val="Štýl Štýl § názov Char + 115 pt + Antique Olive Nie je Tučné"/>
    <w:qFormat/>
    <w:rPr>
      <w:rFonts w:ascii="Arial" w:hAnsi="Arial" w:cs="Arial"/>
      <w:b/>
      <w:bCs/>
      <w:sz w:val="20"/>
      <w:szCs w:val="20"/>
      <w:lang w:val="sk-SK"/>
    </w:rPr>
  </w:style>
  <w:style w:type="character" w:styleId="PtaChar" w:customStyle="1">
    <w:name w:val="Päta Char"/>
    <w:uiPriority w:val="99"/>
    <w:qFormat/>
    <w:rPr>
      <w:rFonts w:ascii="Arial" w:hAnsi="Arial" w:cs="Arial"/>
      <w:sz w:val="24"/>
      <w:szCs w:val="24"/>
      <w:lang w:val="x-none"/>
    </w:rPr>
  </w:style>
  <w:style w:type="character" w:styleId="Pagenumber">
    <w:name w:val="page number"/>
    <w:qFormat/>
    <w:rPr>
      <w:rFonts w:cs="Times New Roman"/>
    </w:rPr>
  </w:style>
  <w:style w:type="character" w:styleId="Vrazn1" w:customStyle="1">
    <w:name w:val="Výrazný1"/>
    <w:qFormat/>
    <w:rPr>
      <w:rFonts w:cs="Times New Roman"/>
      <w:b/>
      <w:bCs/>
    </w:rPr>
  </w:style>
  <w:style w:type="character" w:styleId="ZkladntextChar" w:customStyle="1">
    <w:name w:val="Základný text Char"/>
    <w:qFormat/>
    <w:rPr>
      <w:rFonts w:ascii="Arial" w:hAnsi="Arial" w:cs="Arial"/>
      <w:sz w:val="24"/>
      <w:lang w:val="de-DE"/>
    </w:rPr>
  </w:style>
  <w:style w:type="character" w:styleId="Nadpis3Char" w:customStyle="1">
    <w:name w:val="Nadpis 3 Char"/>
    <w:qFormat/>
    <w:rPr>
      <w:rFonts w:ascii="Arial" w:hAnsi="Arial" w:cs="Arial"/>
      <w:b/>
      <w:bCs/>
      <w:sz w:val="26"/>
      <w:szCs w:val="26"/>
      <w:lang w:val="cs-CZ"/>
    </w:rPr>
  </w:style>
  <w:style w:type="character" w:styleId="HlavikaChar" w:customStyle="1">
    <w:name w:val="Hlavička Char"/>
    <w:uiPriority w:val="99"/>
    <w:qFormat/>
    <w:rPr>
      <w:rFonts w:ascii="Arial Narrow" w:hAnsi="Arial Narrow" w:cs="Arial"/>
      <w:szCs w:val="24"/>
    </w:rPr>
  </w:style>
  <w:style w:type="character" w:styleId="TextbublinyChar" w:customStyle="1">
    <w:name w:val="Text bubliny Char"/>
    <w:qFormat/>
    <w:rPr>
      <w:rFonts w:ascii="Tahoma" w:hAnsi="Tahoma" w:cs="Tahoma"/>
      <w:sz w:val="16"/>
      <w:szCs w:val="16"/>
    </w:rPr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/>
  </w:style>
  <w:style w:type="paragraph" w:styleId="Caption">
    <w:name w:val="caption"/>
    <w:basedOn w:val="Normal"/>
    <w:qFormat/>
    <w:pPr>
      <w:suppressLineNumbers/>
    </w:pPr>
    <w:rPr>
      <w:i/>
      <w:iCs/>
      <w:sz w:val="24"/>
    </w:rPr>
  </w:style>
  <w:style w:type="paragraph" w:styleId="Tl11ptTuniernaPodaokrajaVavo019cmRiadkova" w:customStyle="1">
    <w:name w:val="Štýl 11 pt Tučné Čierna Podľa okraja Vľavo:  019 cm Riadkova..."/>
    <w:next w:val="Normal"/>
    <w:qFormat/>
    <w:pPr>
      <w:widowControl/>
      <w:suppressAutoHyphens w:val="true"/>
      <w:bidi w:val="0"/>
      <w:spacing w:lineRule="auto" w:line="360" w:before="0" w:after="0"/>
      <w:jc w:val="both"/>
    </w:pPr>
    <w:rPr>
      <w:rFonts w:ascii="Arial" w:hAnsi="Arial" w:cs="Arial" w:eastAsia="Times New Roman"/>
      <w:color w:val="000000"/>
      <w:kern w:val="0"/>
      <w:sz w:val="24"/>
      <w:szCs w:val="24"/>
      <w:lang w:eastAsia="zh-CN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qFormat/>
    <w:pPr>
      <w:ind w:left="108" w:hanging="0"/>
    </w:pPr>
    <w:rPr/>
  </w:style>
  <w:style w:type="paragraph" w:styleId="Bododvodnenie" w:customStyle="1">
    <w:name w:val="Bod odôvodnenie"/>
    <w:qFormat/>
    <w:pPr>
      <w:widowControl/>
      <w:numPr>
        <w:ilvl w:val="0"/>
        <w:numId w:val="3"/>
      </w:numPr>
      <w:suppressAutoHyphens w:val="true"/>
      <w:bidi w:val="0"/>
      <w:spacing w:before="120" w:after="120"/>
      <w:jc w:val="left"/>
    </w:pPr>
    <w:rPr>
      <w:rFonts w:ascii="Arial" w:hAnsi="Arial" w:cs="Arial" w:eastAsia="Times New Roman"/>
      <w:b/>
      <w:bCs/>
      <w:color w:val="auto"/>
      <w:kern w:val="0"/>
      <w:sz w:val="24"/>
      <w:szCs w:val="24"/>
      <w:lang w:eastAsia="zh-CN" w:val="sk-SK" w:bidi="ar-SA"/>
    </w:rPr>
  </w:style>
  <w:style w:type="paragraph" w:styleId="TlArialPodaokraja" w:customStyle="1">
    <w:name w:val="Štýl Arial Podľa okraja"/>
    <w:qFormat/>
    <w:pPr>
      <w:widowControl/>
      <w:suppressAutoHyphens w:val="true"/>
      <w:bidi w:val="0"/>
      <w:spacing w:before="0" w:after="0"/>
      <w:jc w:val="both"/>
    </w:pPr>
    <w:rPr>
      <w:rFonts w:ascii="Arial" w:hAnsi="Arial" w:cs="Arial" w:eastAsia="Times New Roman"/>
      <w:color w:val="auto"/>
      <w:kern w:val="0"/>
      <w:sz w:val="16"/>
      <w:szCs w:val="16"/>
      <w:lang w:eastAsia="zh-CN" w:val="sk-SK" w:bidi="ar-SA"/>
    </w:rPr>
  </w:style>
  <w:style w:type="paragraph" w:styleId="Textpoznmky" w:customStyle="1">
    <w:name w:val="Text poznámky"/>
    <w:basedOn w:val="Normal"/>
    <w:qFormat/>
    <w:pPr>
      <w:numPr>
        <w:ilvl w:val="0"/>
        <w:numId w:val="7"/>
      </w:numPr>
      <w:spacing w:lineRule="auto" w:line="240"/>
    </w:pPr>
    <w:rPr/>
  </w:style>
  <w:style w:type="paragraph" w:styleId="Hlavikaapta" w:customStyle="1">
    <w:name w:val="Hlavička a pät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uiPriority w:val="99"/>
    <w:pPr/>
    <w:rPr>
      <w:rFonts w:ascii="Arial" w:hAnsi="Arial" w:cs="Times New Roman"/>
      <w:sz w:val="24"/>
      <w:lang w:val="x-none"/>
    </w:rPr>
  </w:style>
  <w:style w:type="paragraph" w:styleId="Normlny1" w:customStyle="1">
    <w:name w:val="Normálny1"/>
    <w:next w:val="Normal"/>
    <w:qFormat/>
    <w:pPr>
      <w:widowControl/>
      <w:suppressAutoHyphens w:val="true"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auto"/>
      <w:kern w:val="0"/>
      <w:sz w:val="24"/>
      <w:szCs w:val="24"/>
      <w:lang w:eastAsia="zh-CN" w:val="sk-SK" w:bidi="ar-SA"/>
    </w:rPr>
  </w:style>
  <w:style w:type="paragraph" w:styleId="Textopatrenia" w:customStyle="1">
    <w:name w:val="Text opatrenia"/>
    <w:qFormat/>
    <w:pPr>
      <w:widowControl/>
      <w:numPr>
        <w:ilvl w:val="0"/>
        <w:numId w:val="5"/>
      </w:numPr>
      <w:suppressAutoHyphens w:val="true"/>
      <w:bidi w:val="0"/>
      <w:spacing w:before="120" w:after="120"/>
      <w:jc w:val="both"/>
    </w:pPr>
    <w:rPr>
      <w:rFonts w:ascii="Arial Narrow" w:hAnsi="Arial Narrow" w:cs="Arial" w:eastAsia="Times New Roman"/>
      <w:color w:val="auto"/>
      <w:kern w:val="0"/>
      <w:sz w:val="22"/>
      <w:szCs w:val="22"/>
      <w:lang w:eastAsia="zh-CN" w:val="sk-SK" w:bidi="ar-SA"/>
    </w:rPr>
  </w:style>
  <w:style w:type="paragraph" w:styleId="TopHeader" w:customStyle="1">
    <w:name w:val="Top Header"/>
    <w:basedOn w:val="Normal"/>
    <w:qFormat/>
    <w:pPr>
      <w:spacing w:lineRule="auto" w:line="240" w:before="0" w:after="0"/>
      <w:jc w:val="center"/>
    </w:pPr>
    <w:rPr>
      <w:rFonts w:cs="Times New Roman"/>
      <w:b/>
      <w:bCs/>
      <w:sz w:val="22"/>
      <w:szCs w:val="22"/>
    </w:rPr>
  </w:style>
  <w:style w:type="paragraph" w:styleId="ListParagraph">
    <w:name w:val="List Paragraph"/>
    <w:basedOn w:val="Normal"/>
    <w:qFormat/>
    <w:pPr>
      <w:ind w:left="708" w:hanging="0"/>
    </w:pPr>
    <w:rPr/>
  </w:style>
  <w:style w:type="paragraph" w:styleId="Zhlavie">
    <w:name w:val="Header"/>
    <w:basedOn w:val="Normal"/>
    <w:uiPriority w:val="99"/>
    <w:pPr/>
    <w:rPr>
      <w:rFonts w:cs="Times New Roman"/>
      <w:lang w:val="x-none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imes New Roman"/>
      <w:sz w:val="16"/>
      <w:szCs w:val="16"/>
      <w:lang w:val="x-none"/>
    </w:rPr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Zhlavietabuky" w:customStyle="1">
    <w:name w:val="Záhlavie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7c2be1"/>
    <w:rPr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424941-800C-4797-AD78-57FFA8021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Application>LibreOffice/7.2.0.4$Windows_X86_64 LibreOffice_project/9a9c6381e3f7a62afc1329bd359cc48accb6435b</Application>
  <AppVersion>15.0000</AppVersion>
  <Pages>6</Pages>
  <Words>1585</Words>
  <Characters>9445</Characters>
  <CharactersWithSpaces>10932</CharactersWithSpaces>
  <Paragraphs>324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2024-03-10T21:43:00Z</dcterms:created>
  <dc:creator>jvrskova</dc:creator>
  <dc:description/>
  <dc:language>sk-SK</dc:language>
  <cp:lastModifiedBy/>
  <cp:lastPrinted>2023-03-21T13:12:00Z</cp:lastPrinted>
  <dcterms:modified xsi:type="dcterms:W3CDTF">2024-03-18T21:56:21Z</dcterms:modified>
  <cp:revision>9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