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Telotextu"/>
        <w:spacing w:before="0" w:after="260"/>
        <w:ind w:left="0" w:right="0"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ÚČTOVNEJ JEDNOTKE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0" w:name="bookmark0"/>
      <w:bookmarkEnd w:id="0"/>
      <w:r>
        <w:rPr>
          <w:rStyle w:val="Heading2"/>
          <w:b/>
          <w:bCs/>
          <w:color w:val="000000"/>
          <w:sz w:val="24"/>
          <w:szCs w:val="24"/>
        </w:rPr>
        <w:t>Založenie spoločnosti</w:t>
      </w:r>
    </w:p>
    <w:p>
      <w:pPr>
        <w:pStyle w:val="Telotextu"/>
        <w:spacing w:lineRule="auto" w:line="228" w:before="0" w:after="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Spoločnosť: STROPTEL, s.r.o. (ďalej len Spoločnosť)</w:t>
      </w:r>
    </w:p>
    <w:p>
      <w:pPr>
        <w:pStyle w:val="Telotextu"/>
        <w:spacing w:before="0" w:after="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Sídlo: Ciolkovského 1270/1, 091 01 Stropkov</w:t>
      </w:r>
    </w:p>
    <w:p>
      <w:pPr>
        <w:pStyle w:val="Telotextu"/>
        <w:spacing w:before="0" w:after="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Založená dňa: 15.12.1995</w:t>
      </w:r>
    </w:p>
    <w:p>
      <w:pPr>
        <w:pStyle w:val="Telotextu"/>
        <w:spacing w:before="0" w:after="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 obchodného registra bola zapísaná dňa: 15.,12.1995</w:t>
      </w:r>
    </w:p>
    <w:p>
      <w:pPr>
        <w:pStyle w:val="Telotextu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(Obchodný register Okresného súdu Prešov, oddiel s.r.o., vložka 2706/P).</w:t>
      </w:r>
    </w:p>
    <w:p>
      <w:pPr>
        <w:pStyle w:val="Telotextu"/>
        <w:numPr>
          <w:ilvl w:val="0"/>
          <w:numId w:val="1"/>
        </w:numPr>
        <w:tabs>
          <w:tab w:val="left" w:pos="359" w:leader="none"/>
        </w:tabs>
        <w:spacing w:before="0" w:after="62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Hlavnými činnosťami Spoločnosti sú: Výroba transformátorov, cievok a vinutých dielov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" w:name="bookmark2"/>
      <w:bookmarkEnd w:id="1"/>
      <w:r>
        <w:rPr>
          <w:rStyle w:val="Heading2"/>
          <w:b/>
          <w:bCs/>
          <w:color w:val="000000"/>
          <w:sz w:val="24"/>
          <w:szCs w:val="24"/>
        </w:rPr>
        <w:t>Údaje o neobmedzenom ručení</w:t>
      </w:r>
    </w:p>
    <w:p>
      <w:pPr>
        <w:pStyle w:val="Telotextu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nie je neobmedzene ručiacim spoločníkom v iných spoločnostiach podľa § 56 ods. 5 Obchodného zákonníka.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" w:name="bookmark4"/>
      <w:bookmarkEnd w:id="2"/>
      <w:r>
        <w:rPr>
          <w:rStyle w:val="Heading2"/>
          <w:b/>
          <w:bCs/>
          <w:color w:val="000000"/>
          <w:sz w:val="24"/>
          <w:szCs w:val="24"/>
        </w:rPr>
        <w:t>Právny dôvod na zostavenie účtovnej závierky</w:t>
      </w:r>
    </w:p>
    <w:p>
      <w:pPr>
        <w:pStyle w:val="Telotextu"/>
        <w:ind w:left="44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Spoločnosti k 31. decembru 2023 je zostavená ako riadna účtovná závierka podľa § 17 ods. 6 zákona NR SR č. 431/2002 Z. z. o účtovníctve za účtovné obdobie od 1. januára 2023 do 31. decembra 2023.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3" w:name="bookmark6"/>
      <w:bookmarkEnd w:id="3"/>
      <w:r>
        <w:rPr>
          <w:rStyle w:val="Heading2"/>
          <w:b/>
          <w:bCs/>
          <w:color w:val="000000"/>
          <w:sz w:val="24"/>
          <w:szCs w:val="24"/>
        </w:rPr>
        <w:t>Dátum schválenia účtovnej závierky za predchádzajúce účtovné obdobie</w:t>
      </w:r>
    </w:p>
    <w:p>
      <w:pPr>
        <w:pStyle w:val="Telotextu"/>
        <w:ind w:left="44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Spoločnosti k 31. decembru 2022, za predchádzajúce účtovné obdobie, bola schválená valným zhromaždením spoločnosti dňa 05.05.2023</w:t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spacing w:before="0" w:after="400"/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4" w:name="bookmark8"/>
      <w:bookmarkEnd w:id="4"/>
      <w:r>
        <w:rPr>
          <w:rStyle w:val="Heading2"/>
          <w:b/>
          <w:bCs/>
          <w:color w:val="000000"/>
          <w:sz w:val="24"/>
          <w:szCs w:val="24"/>
        </w:rPr>
        <w:t>Počet zamestnancov</w:t>
      </w:r>
    </w:p>
    <w:p>
      <w:pPr>
        <w:pStyle w:val="Telotextu"/>
        <w:spacing w:before="0" w:after="620"/>
        <w:ind w:left="0" w:righ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Údaje o počte zamestnancov za bežné účtovné obdobie sú uvedené v nasledujúcom prehľade:</w:t>
      </w:r>
    </w:p>
    <w:tbl>
      <w:tblPr>
        <w:jc w:val="left"/>
        <w:tblInd w:w="1506" w:type="dxa"/>
        <w:tblBorders>
          <w:top w:val="single" w:sz="4" w:space="0" w:color="00000A"/>
          <w:left w:val="single" w:sz="4" w:space="0" w:color="00000A"/>
          <w:bottom w:val="nil"/>
          <w:insideH w:val="nil"/>
          <w:right w:val="nil"/>
          <w:insideV w:val="nil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3801"/>
        <w:gridCol w:w="3287"/>
      </w:tblGrid>
      <w:tr>
        <w:trPr>
          <w:trHeight w:val="250" w:hRule="exact"/>
          <w:cantSplit w:val="false"/>
        </w:trPr>
        <w:tc>
          <w:tcPr>
            <w:tcW w:w="3801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bottom"/>
          </w:tcPr>
          <w:p>
            <w:pPr>
              <w:pStyle w:val="Other1"/>
              <w:spacing w:before="0" w:after="0"/>
              <w:ind w:left="0" w:right="0" w:firstLine="500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3287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bottom"/>
          </w:tcPr>
          <w:p>
            <w:pPr>
              <w:pStyle w:val="Other1"/>
              <w:spacing w:before="0" w:after="0"/>
              <w:ind w:left="0" w:right="0" w:firstLine="480"/>
              <w:jc w:val="both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>
        <w:trPr>
          <w:trHeight w:val="389" w:hRule="exact"/>
          <w:cantSplit w:val="false"/>
        </w:trPr>
        <w:tc>
          <w:tcPr>
            <w:tcW w:w="3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ind w:left="0" w:right="0" w:firstLine="50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2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ind w:left="0" w:right="0" w:firstLine="480"/>
              <w:jc w:val="center"/>
              <w:rPr>
                <w:rStyle w:val="Other"/>
                <w:rFonts w:cs="Microsoft Sans Serif" w:ascii="Microsoft Sans Serif" w:hAnsi="Microsoft Sans Serif"/>
                <w:color w:val="000000"/>
                <w:sz w:val="24"/>
                <w:szCs w:val="24"/>
              </w:rPr>
            </w:pPr>
            <w:r>
              <w:rPr>
                <w:rStyle w:val="Other"/>
                <w:rFonts w:cs="Microsoft Sans Serif" w:ascii="Microsoft Sans Serif" w:hAnsi="Microsoft Sans Serif"/>
                <w:color w:val="000000"/>
                <w:sz w:val="24"/>
                <w:szCs w:val="24"/>
              </w:rPr>
              <w:t>86</w:t>
            </w:r>
          </w:p>
        </w:tc>
      </w:tr>
    </w:tbl>
    <w:p>
      <w:pPr>
        <w:pStyle w:val="Normal"/>
        <w:spacing w:lineRule="exact" w:line="1" w:before="0" w:after="199"/>
        <w:rPr>
          <w:color w:val="00000A"/>
        </w:rPr>
      </w:pPr>
      <w:r>
        <w:rPr>
          <w:color w:val="00000A"/>
        </w:rPr>
      </w:r>
    </w:p>
    <w:p>
      <w:pPr>
        <w:pStyle w:val="Heading21"/>
        <w:keepNext/>
        <w:keepLines/>
        <w:numPr>
          <w:ilvl w:val="0"/>
          <w:numId w:val="1"/>
        </w:numPr>
        <w:tabs>
          <w:tab w:val="left" w:pos="359" w:leader="none"/>
        </w:tabs>
        <w:spacing w:before="0" w:after="200"/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5" w:name="bookmark10"/>
      <w:bookmarkEnd w:id="5"/>
      <w:r>
        <w:rPr>
          <w:rStyle w:val="Heading2"/>
          <w:b/>
          <w:bCs/>
          <w:color w:val="000000"/>
          <w:sz w:val="24"/>
          <w:szCs w:val="24"/>
        </w:rPr>
        <w:t>Informácie o orgánoch účtovnej jednotky</w:t>
      </w:r>
    </w:p>
    <w:p>
      <w:pPr>
        <w:pStyle w:val="Telotextu"/>
        <w:numPr>
          <w:ilvl w:val="0"/>
          <w:numId w:val="2"/>
        </w:numPr>
        <w:tabs>
          <w:tab w:val="left" w:pos="805" w:leader="none"/>
        </w:tabs>
        <w:spacing w:before="0" w:after="0"/>
        <w:ind w:left="80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Výška jednotlivých druhov záruk alebo iných zabezpečení poskytnutých pre členov štatutárneho orgánu, dozorného orgánu a iného orgánu ÚJ:</w:t>
      </w:r>
    </w:p>
    <w:p>
      <w:pPr>
        <w:pStyle w:val="Telotextu"/>
        <w:numPr>
          <w:ilvl w:val="0"/>
          <w:numId w:val="2"/>
        </w:numPr>
        <w:tabs>
          <w:tab w:val="left" w:pos="805" w:leader="none"/>
        </w:tabs>
        <w:spacing w:before="0" w:after="0"/>
        <w:ind w:left="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Informácia o pôžičkách:</w:t>
      </w:r>
    </w:p>
    <w:p>
      <w:pPr>
        <w:pStyle w:val="Telotextu"/>
        <w:spacing w:before="0" w:after="0"/>
        <w:ind w:left="0" w:right="0" w:firstLine="80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poskytnutých pôžičiek k 31.12. bežného obdobia podľa jednotlivých orgánov: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Konateľ: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>
      <w:pPr>
        <w:pStyle w:val="Telotextu"/>
        <w:spacing w:before="0" w:after="0"/>
        <w:ind w:left="0" w:right="0"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splatených pôžičiek za posledné účtovné obdobie: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Konateľ: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>
      <w:pPr>
        <w:pStyle w:val="Telotextu"/>
        <w:spacing w:before="0" w:after="0"/>
        <w:ind w:left="1440" w:right="0" w:hanging="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>
      <w:pPr>
        <w:pStyle w:val="Telotextu"/>
        <w:spacing w:before="0" w:after="0"/>
        <w:ind w:left="0" w:right="0"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odpustených pôžičiek a odpísaných pôžičiek k 31.12. bežného obdobia: 0,- €</w:t>
      </w:r>
    </w:p>
    <w:p>
      <w:pPr>
        <w:pStyle w:val="Telotextu"/>
        <w:spacing w:before="0" w:after="760"/>
        <w:ind w:left="0" w:right="0"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 aktuálnom účtovnom období neboli odpustené ani odpísané žiadne pôžičky.</w:t>
      </w:r>
    </w:p>
    <w:p>
      <w:pPr>
        <w:pStyle w:val="Heading21"/>
        <w:keepNext/>
        <w:keepLines/>
        <w:spacing w:before="0" w:after="40"/>
        <w:ind w:left="0" w:right="0" w:firstLine="38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6" w:name="bookmark12"/>
      <w:bookmarkEnd w:id="6"/>
      <w:r>
        <w:rPr>
          <w:rStyle w:val="Heading2"/>
          <w:b/>
          <w:bCs/>
          <w:color w:val="000000"/>
          <w:sz w:val="24"/>
          <w:szCs w:val="24"/>
        </w:rPr>
        <w:t>INFORMÁCIE O KONSOLIDOVANOM CELKU</w:t>
      </w:r>
    </w:p>
    <w:p>
      <w:pPr>
        <w:pStyle w:val="Telotextu"/>
        <w:spacing w:before="0" w:after="560"/>
        <w:ind w:left="44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Materskou spoločnosťou firmy STROPTEL je spoločnosť  SPEN TRADE s.r.o., so sídlom Ciolkovského 1270/1, 091 01 Stropkov</w:t>
      </w:r>
    </w:p>
    <w:p>
      <w:pPr>
        <w:pStyle w:val="Telotextu"/>
        <w:spacing w:before="0" w:after="260"/>
        <w:ind w:left="0" w:right="0"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ÚČTOVNÝCH ZÁSADÁCH A ÚČTOVNÝCH METÓDACH</w:t>
      </w:r>
    </w:p>
    <w:p>
      <w:pPr>
        <w:pStyle w:val="Heading21"/>
        <w:keepNext/>
        <w:keepLines/>
        <w:numPr>
          <w:ilvl w:val="0"/>
          <w:numId w:val="3"/>
        </w:numPr>
        <w:tabs>
          <w:tab w:val="left" w:pos="397" w:leader="none"/>
        </w:tabs>
        <w:ind w:left="0" w:right="0" w:hanging="36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7" w:name="bookmark14"/>
      <w:bookmarkEnd w:id="7"/>
      <w:r>
        <w:rPr>
          <w:rStyle w:val="Heading2"/>
          <w:b/>
          <w:bCs/>
          <w:color w:val="000000"/>
          <w:sz w:val="24"/>
          <w:szCs w:val="24"/>
        </w:rPr>
        <w:t>Východiská pre zostavenie účtovnej závierky</w:t>
      </w:r>
    </w:p>
    <w:p>
      <w:pPr>
        <w:pStyle w:val="Telotextu"/>
        <w:ind w:left="440" w:right="0" w:firstLine="20"/>
        <w:jc w:val="both"/>
        <w:rPr>
          <w:color w:val="00000A"/>
        </w:rPr>
      </w:pPr>
      <w:r>
        <w:rPr>
          <w:rStyle w:val="ZkladntextChar1"/>
          <w:color w:val="000000"/>
          <w:sz w:val="24"/>
          <w:szCs w:val="24"/>
        </w:rPr>
        <w:t xml:space="preserve"> </w:t>
      </w:r>
      <w:r>
        <w:rPr>
          <w:rStyle w:val="ZkladntextChar1"/>
          <w:color w:val="000000"/>
          <w:sz w:val="24"/>
          <w:szCs w:val="24"/>
        </w:rPr>
        <w:t>Ako sme predpokladali situácii spôsobená COVID 19 a vojnou na Ukrajine v roku 2021-2022 mala na naše podnikateľské aktivity značný vplyv, ktorý sa prejavil v roku 2023. V  roku  2023 došlo k poklesu tržieb o  35% a zamestnanosť klesla o 24%.</w:t>
      </w:r>
      <w:r>
        <w:rPr>
          <w:color w:val="00000A"/>
        </w:rPr>
        <w:br/>
      </w:r>
      <w:r>
        <w:pict>
          <v:rect fillcolor="#FFFFFF" stroked="f" strokeweight="0pt" style="position:absolute;width:2.9pt;height:11.55pt;mso-wrap-distance-left:0pt;mso-wrap-distance-right:0pt;mso-wrap-distance-top:0pt;mso-wrap-distance-bottom:0pt;margin-top:801.2pt;margin-left:541.65pt">
            <v:textbox inset="0in,0in,0in,0in">
              <w:txbxContent>
                <w:p>
                  <w:pPr>
                    <w:pStyle w:val="Headerorfooter21"/>
                    <w:rPr/>
                  </w:pPr>
                  <w:r>
                    <w:rPr/>
                    <w:fldChar w:fldCharType="begin"/>
                  </w:r>
                  <w:r>
                    <w:instrText> PAGE </w:instrText>
                  </w:r>
                  <w:r>
                    <w:fldChar w:fldCharType="separate"/>
                  </w:r>
                  <w:r>
                    <w:t>2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spacing w:before="0" w:after="400"/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8" w:name="bookmark16"/>
      <w:bookmarkEnd w:id="8"/>
      <w:r>
        <w:rPr>
          <w:rStyle w:val="Heading2"/>
          <w:b/>
          <w:bCs/>
          <w:color w:val="000000"/>
          <w:sz w:val="24"/>
          <w:szCs w:val="24"/>
        </w:rPr>
        <w:t>Počas účtovného obdobia neboli prijaté zmeny účtovných zásad a účtovných metód</w:t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spacing w:before="0" w:after="200"/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Účtovné metódy a všeobecné účtovné zásady pri oceňovaní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Dlhodobý nehmotný majetok a dlhodobý hmotný majetok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Dlhodobý majetok nakupovaný sa oceňuje obstarávacou cenou, ktorá zahŕňa cenu obstarania a náklady súvisiace s obstaraním (clo, prepravu, montáž, poistné a pod.).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hmotného majetku nie sú úroky z cudzích zdrojov ani realizované kurzové rozdiely, ktoré vznikli do momentu uvedenia dlhodobého majetku do používania.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nehmotného majetku nie sú úroky z cudzích zdrojov, ktoré vznikli do momentu zaradenia dlhodobého nehmotného majetku do používania.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9" w:name="bookmark20"/>
      <w:bookmarkEnd w:id="9"/>
      <w:r>
        <w:rPr>
          <w:rStyle w:val="Heading2"/>
          <w:b/>
          <w:bCs/>
          <w:color w:val="000000"/>
          <w:sz w:val="24"/>
          <w:szCs w:val="24"/>
        </w:rPr>
        <w:t>Cenné papiere a podiely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a podiely (okrem cenných papierov na obchodovanie) sa oceňujú obstarávacími cenami vrátane nákladov súvisiacich s obstaraním. Od obstarávacej ceny je odpočítané zníženie hodnoty cenných papierov a podielov.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na obchodovanie sa pri ich obstaraní oceňujú reálnou hodnotou.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0" w:name="bookmark22"/>
      <w:bookmarkEnd w:id="10"/>
      <w:r>
        <w:rPr>
          <w:rStyle w:val="Heading2"/>
          <w:b/>
          <w:bCs/>
          <w:color w:val="000000"/>
          <w:sz w:val="24"/>
          <w:szCs w:val="24"/>
        </w:rPr>
        <w:t>Zásoby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Zásoby sa oceňujú obstarávacou cenou.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Zníženie hodnoty zásob sa zohľadňuje vytvorením opravnej položky.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účtuje zásoby spôsobom A.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0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1" w:name="bookmark24"/>
      <w:bookmarkEnd w:id="11"/>
      <w:r>
        <w:rPr>
          <w:rStyle w:val="Heading2"/>
          <w:b/>
          <w:bCs/>
          <w:color w:val="000000"/>
          <w:sz w:val="24"/>
          <w:szCs w:val="24"/>
        </w:rPr>
        <w:t>Peňažné prostriedky a ceniny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Peňažné prostriedky a ceniny sa oceňujú ich menovitou hodnotou. Zníženie ich hodnoty sa vyjadruje opravnou položkou.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0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2" w:name="bookmark26"/>
      <w:bookmarkEnd w:id="12"/>
      <w:r>
        <w:rPr>
          <w:rStyle w:val="Heading2"/>
          <w:b/>
          <w:bCs/>
          <w:color w:val="000000"/>
          <w:sz w:val="24"/>
          <w:szCs w:val="24"/>
        </w:rPr>
        <w:t>Cudzia mena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3" w:name="bookmark28"/>
      <w:bookmarkEnd w:id="13"/>
      <w:r>
        <w:rPr>
          <w:rStyle w:val="Heading2"/>
          <w:b/>
          <w:bCs/>
          <w:color w:val="000000"/>
          <w:sz w:val="24"/>
          <w:szCs w:val="24"/>
        </w:rPr>
        <w:t>Výnosy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4" w:name="bookmark30"/>
      <w:bookmarkEnd w:id="14"/>
      <w:r>
        <w:rPr>
          <w:rStyle w:val="Heading2"/>
          <w:b/>
          <w:bCs/>
          <w:color w:val="000000"/>
          <w:sz w:val="24"/>
          <w:szCs w:val="24"/>
        </w:rPr>
        <w:t>Zákazková výroba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04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Zákazková výstavba nehnuteľností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5" w:name="bookmark34"/>
      <w:bookmarkEnd w:id="15"/>
      <w:r>
        <w:rPr>
          <w:rStyle w:val="Heading2"/>
          <w:b/>
          <w:bCs/>
          <w:color w:val="000000"/>
          <w:sz w:val="24"/>
          <w:szCs w:val="24"/>
        </w:rPr>
        <w:t>Pohľadávky</w:t>
      </w:r>
    </w:p>
    <w:p>
      <w:pPr>
        <w:pStyle w:val="Telotextu"/>
        <w:spacing w:before="0" w:after="420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6" w:name="bookmark36"/>
      <w:bookmarkEnd w:id="16"/>
      <w:r>
        <w:rPr>
          <w:rStyle w:val="Heading2"/>
          <w:b/>
          <w:bCs/>
          <w:color w:val="000000"/>
          <w:sz w:val="24"/>
          <w:szCs w:val="24"/>
        </w:rPr>
        <w:t>Náklady budúcich období a príjmy budúcich období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rPr>
          <w:rStyle w:val="Heading2"/>
          <w:b/>
          <w:bCs/>
          <w:color w:val="000000"/>
          <w:sz w:val="24"/>
          <w:szCs w:val="24"/>
        </w:rPr>
      </w:pPr>
      <w:bookmarkStart w:id="17" w:name="bookmark38"/>
      <w:bookmarkEnd w:id="17"/>
      <w:r>
        <w:rPr>
          <w:rStyle w:val="Heading2"/>
          <w:b/>
          <w:bCs/>
          <w:color w:val="000000"/>
          <w:sz w:val="24"/>
          <w:szCs w:val="24"/>
        </w:rPr>
        <w:t>Rezervy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Rezervy sú záväzky s neurčitým časovým vymedzením alebo výškou; tvoria sa na krytie známych rizík alebo strát z podnikania. Oceňujú sa v očakávanej výške záväzku.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8" w:name="bookmark40"/>
      <w:bookmarkEnd w:id="18"/>
      <w:r>
        <w:rPr>
          <w:rStyle w:val="Heading2"/>
          <w:b/>
          <w:bCs/>
          <w:color w:val="000000"/>
          <w:sz w:val="24"/>
          <w:szCs w:val="24"/>
        </w:rPr>
        <w:t>Záväzky</w:t>
      </w:r>
    </w:p>
    <w:p>
      <w:pPr>
        <w:pStyle w:val="Telotextu"/>
        <w:spacing w:before="0" w:after="420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9" w:name="bookmark42"/>
      <w:bookmarkEnd w:id="19"/>
      <w:r>
        <w:rPr>
          <w:rStyle w:val="Heading2"/>
          <w:b/>
          <w:bCs/>
          <w:color w:val="000000"/>
          <w:sz w:val="24"/>
          <w:szCs w:val="24"/>
        </w:rPr>
        <w:t>Výdavky budúcich období a výnosy budúcich období</w:t>
      </w:r>
    </w:p>
    <w:p>
      <w:pPr>
        <w:pStyle w:val="Telotextu"/>
        <w:spacing w:before="0" w:after="420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0" w:name="bookmark44"/>
      <w:bookmarkEnd w:id="20"/>
      <w:r>
        <w:rPr>
          <w:rStyle w:val="Heading2"/>
          <w:b/>
          <w:bCs/>
          <w:color w:val="000000"/>
          <w:sz w:val="24"/>
          <w:szCs w:val="24"/>
        </w:rPr>
        <w:t>Prenájom (lízing)</w:t>
      </w:r>
    </w:p>
    <w:p>
      <w:pPr>
        <w:pStyle w:val="Telotextu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prenajatý na základe operatívneho prenájmu vykazuje ako svoj majetok jeho vlastník, nie nájomca.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</w:t>
      </w:r>
    </w:p>
    <w:p>
      <w:pPr>
        <w:pStyle w:val="Telotextu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Prijatie majetku nájomcom sa v účtovníctve nájomcu účtuje v deň prijatia majetku na ťarchu príslušného účtu majetku so súvzťažným zápisom v prospech účtu 474 - Záväzky z nájmu vo výške dohodnutých platieb znížených o nerealizované finančné náklady.</w:t>
      </w:r>
    </w:p>
    <w:p>
      <w:pPr>
        <w:pStyle w:val="Telotextu"/>
        <w:spacing w:before="0" w:after="620"/>
        <w:ind w:left="72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562 - Úroky.</w:t>
      </w:r>
    </w:p>
    <w:p>
      <w:pPr>
        <w:pStyle w:val="Heading21"/>
        <w:keepNext/>
        <w:keepLines/>
        <w:numPr>
          <w:ilvl w:val="0"/>
          <w:numId w:val="5"/>
        </w:numPr>
        <w:tabs>
          <w:tab w:val="left" w:pos="713" w:leader="none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1" w:name="bookmark46"/>
      <w:bookmarkEnd w:id="21"/>
      <w:r>
        <w:rPr>
          <w:rStyle w:val="Heading2"/>
          <w:b/>
          <w:bCs/>
          <w:color w:val="000000"/>
          <w:sz w:val="24"/>
          <w:szCs w:val="24"/>
        </w:rPr>
        <w:t>Odložené dane</w:t>
      </w:r>
    </w:p>
    <w:p>
      <w:pPr>
        <w:pStyle w:val="Telotextu"/>
        <w:spacing w:before="0" w:after="0"/>
        <w:ind w:left="0" w:right="0"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Odložené dane (odložená daňová pohľadávka a odložený daňový záväzok) sa vzťahujú na:</w:t>
      </w:r>
    </w:p>
    <w:p>
      <w:pPr>
        <w:pStyle w:val="Telotextu"/>
        <w:numPr>
          <w:ilvl w:val="0"/>
          <w:numId w:val="6"/>
        </w:numPr>
        <w:tabs>
          <w:tab w:val="left" w:pos="713" w:leader="none"/>
        </w:tabs>
        <w:spacing w:before="0" w:after="0"/>
        <w:ind w:left="72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dočasné rozdiely medzi účtovnou hodnotou majetku a účtovnou hodnotou záväzkov vykázanou v súvahe a ich daňovou základňou,</w:t>
      </w:r>
    </w:p>
    <w:p>
      <w:pPr>
        <w:pStyle w:val="Telotextu"/>
        <w:numPr>
          <w:ilvl w:val="0"/>
          <w:numId w:val="6"/>
        </w:numPr>
        <w:tabs>
          <w:tab w:val="left" w:pos="713" w:leader="none"/>
        </w:tabs>
        <w:spacing w:before="0" w:after="0"/>
        <w:ind w:left="72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umorovať daňovú stratu v budúcnosti, ktorou sa rozumie možnosť odpočítať daňovú stratu od základu dane v budúcnosti,</w:t>
      </w:r>
    </w:p>
    <w:p>
      <w:pPr>
        <w:pStyle w:val="Telotextu"/>
        <w:numPr>
          <w:ilvl w:val="0"/>
          <w:numId w:val="6"/>
        </w:numPr>
        <w:tabs>
          <w:tab w:val="left" w:pos="713" w:leader="none"/>
        </w:tabs>
        <w:ind w:left="0" w:right="0" w:hanging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previesť nevyužité daňové odpočty a iné daňové nároky do budúcich období.</w:t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spacing w:before="0" w:after="200"/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22" w:name="bookmark48"/>
      <w:bookmarkEnd w:id="22"/>
      <w:r>
        <w:rPr>
          <w:rStyle w:val="Heading2"/>
          <w:b/>
          <w:bCs/>
          <w:color w:val="000000"/>
          <w:sz w:val="24"/>
          <w:szCs w:val="24"/>
        </w:rPr>
        <w:t>Tvorba odpisovaného plánu</w:t>
      </w:r>
    </w:p>
    <w:p>
      <w:pPr>
        <w:pStyle w:val="Telotextu"/>
        <w:ind w:left="44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>
      <w:pPr>
        <w:pStyle w:val="Telotextu"/>
        <w:ind w:left="440" w:right="0" w:hanging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Odpisy dlhodobého hmotného majetku sú stanovené vychádzajúc z predpokladanej doby jeho používania a predpokladaného priebehu jeho opotrebenia. Odpisovať sa začína prvým dňom mesiaca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  <w:r>
        <w:pict>
          <v:rect fillcolor="#FFFFFF" stroked="f" strokeweight="0pt" style="position:absolute;width:5.05pt;height:11.55pt;mso-wrap-distance-left:0pt;mso-wrap-distance-right:0pt;mso-wrap-distance-top:0pt;mso-wrap-distance-bottom:0pt;margin-top:801.2pt;margin-left:541.65pt">
            <v:textbox inset="0in,0in,0in,0in">
              <w:txbxContent>
                <w:p>
                  <w:pPr>
                    <w:pStyle w:val="Headerorfooter21"/>
                    <w:rPr/>
                  </w:pPr>
                  <w:r>
                    <w:rPr/>
                    <w:fldChar w:fldCharType="begin"/>
                  </w:r>
                  <w:r>
                    <w:instrText> PAGE </w:instrText>
                  </w:r>
                  <w:r>
                    <w:fldChar w:fldCharType="separate"/>
                  </w:r>
                  <w:r>
                    <w:t>5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>
      <w:pPr>
        <w:pStyle w:val="Normal"/>
        <w:spacing w:lineRule="exact" w:line="1" w:before="0" w:after="659"/>
        <w:rPr>
          <w:color w:val="00000A"/>
        </w:rPr>
      </w:pPr>
      <w:r>
        <w:rPr>
          <w:color w:val="00000A"/>
        </w:rPr>
      </w:r>
    </w:p>
    <w:tbl>
      <w:tblPr>
        <w:jc w:val="center"/>
        <w:tblInd w:w="0" w:type="dxa"/>
        <w:tblBorders>
          <w:top w:val="nil"/>
          <w:left w:val="nil"/>
          <w:bottom w:val="nil"/>
          <w:insideH w:val="nil"/>
          <w:right w:val="nil"/>
          <w:insideV w:val="nil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2875"/>
        <w:gridCol w:w="2377"/>
        <w:gridCol w:w="1828"/>
        <w:gridCol w:w="1546"/>
      </w:tblGrid>
      <w:tr>
        <w:trPr>
          <w:trHeight w:val="499" w:hRule="exact"/>
          <w:cantSplit w:val="false"/>
        </w:trPr>
        <w:tc>
          <w:tcPr>
            <w:tcW w:w="2875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Normal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Predpokladaná doba používania v rokoch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Metóda odpisovania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Ročná odpisová sadzba v %</w:t>
            </w:r>
          </w:p>
        </w:tc>
      </w:tr>
      <w:tr>
        <w:trPr>
          <w:trHeight w:val="240" w:hRule="exact"/>
          <w:cantSplit w:val="false"/>
        </w:trPr>
        <w:tc>
          <w:tcPr>
            <w:tcW w:w="2875" w:type="dxa"/>
            <w:tcBorders>
              <w:top w:val="single" w:sz="4" w:space="0" w:color="00000A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2377" w:type="dxa"/>
            <w:tcBorders>
              <w:top w:val="single" w:sz="4" w:space="0" w:color="00000A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828" w:type="dxa"/>
            <w:tcBorders>
              <w:top w:val="single" w:sz="4" w:space="0" w:color="00000A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single" w:sz="4" w:space="0" w:color="00000A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82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5</w:t>
            </w:r>
          </w:p>
        </w:tc>
      </w:tr>
      <w:tr>
        <w:trPr>
          <w:trHeight w:val="250" w:hRule="exact"/>
          <w:cantSplit w:val="false"/>
        </w:trPr>
        <w:tc>
          <w:tcPr>
            <w:tcW w:w="2875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4 až 6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16 až 25</w:t>
            </w:r>
          </w:p>
        </w:tc>
      </w:tr>
      <w:tr>
        <w:trPr>
          <w:trHeight w:val="254" w:hRule="exact"/>
          <w:cantSplit w:val="false"/>
        </w:trPr>
        <w:tc>
          <w:tcPr>
            <w:tcW w:w="2875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Dopravné prostriedky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3 až 4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25 až 33</w:t>
            </w:r>
          </w:p>
        </w:tc>
      </w:tr>
      <w:tr>
        <w:trPr>
          <w:trHeight w:val="240" w:hRule="exact"/>
          <w:cantSplit w:val="false"/>
        </w:trPr>
        <w:tc>
          <w:tcPr>
            <w:tcW w:w="2875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Drobný dlhodobý hmotný majetok</w:t>
            </w:r>
          </w:p>
        </w:tc>
        <w:tc>
          <w:tcPr>
            <w:tcW w:w="2377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rôzna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20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jednorazový odpis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center"/>
          </w:tcPr>
          <w:p>
            <w:pPr>
              <w:pStyle w:val="Other1"/>
              <w:spacing w:before="0" w:after="0"/>
              <w:ind w:left="0" w:right="0" w:firstLine="74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100</w:t>
            </w:r>
          </w:p>
        </w:tc>
      </w:tr>
    </w:tbl>
    <w:p>
      <w:pPr>
        <w:pStyle w:val="Normal"/>
        <w:spacing w:lineRule="exact" w:line="1" w:before="0" w:after="199"/>
        <w:rPr>
          <w:color w:val="00000A"/>
        </w:rPr>
      </w:pPr>
      <w:r>
        <w:rPr>
          <w:color w:val="00000A"/>
        </w:rPr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23" w:name="bookmark50"/>
      <w:bookmarkEnd w:id="23"/>
      <w:r>
        <w:rPr>
          <w:rStyle w:val="Heading2"/>
          <w:b/>
          <w:bCs/>
          <w:color w:val="000000"/>
          <w:sz w:val="24"/>
          <w:szCs w:val="24"/>
        </w:rPr>
        <w:t>Dotácie zo štátneho rozpočtu</w:t>
      </w:r>
    </w:p>
    <w:p>
      <w:pPr>
        <w:pStyle w:val="Telotextu"/>
        <w:ind w:left="50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>
      <w:pPr>
        <w:pStyle w:val="Telotextu"/>
        <w:ind w:left="50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Telotextu"/>
        <w:ind w:left="50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>
      <w:pPr>
        <w:pStyle w:val="Heading21"/>
        <w:keepNext/>
        <w:keepLines/>
        <w:numPr>
          <w:ilvl w:val="0"/>
          <w:numId w:val="4"/>
        </w:numPr>
        <w:tabs>
          <w:tab w:val="left" w:pos="427" w:leader="none"/>
        </w:tabs>
        <w:ind w:left="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24" w:name="bookmark52"/>
      <w:bookmarkEnd w:id="24"/>
      <w:r>
        <w:rPr>
          <w:rStyle w:val="Heading2"/>
          <w:b/>
          <w:bCs/>
          <w:color w:val="000000"/>
          <w:sz w:val="24"/>
          <w:szCs w:val="24"/>
        </w:rPr>
        <w:t>Oprava významných chýb minulých účtovných období</w:t>
      </w:r>
    </w:p>
    <w:p>
      <w:pPr>
        <w:pStyle w:val="Telotextu"/>
        <w:spacing w:before="0" w:after="320"/>
        <w:ind w:left="500" w:right="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Významné chyby minulých účtovných období sa účtujú prostredníctvom účtu 428 - Nerozdelený zisk minulých rokov alebo účtu 429 - Neuhradená strata minulých rokov a to na príslušný analytický účet za daný rok, na ktorý sa významná chyba vzťahuje.</w:t>
      </w:r>
    </w:p>
    <w:p>
      <w:pPr>
        <w:pStyle w:val="Telotextu"/>
        <w:spacing w:before="0" w:after="260"/>
        <w:ind w:left="0" w:right="0" w:firstLine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ÚDAJOCH NA STRANE AKTÍV SÚVAHY</w:t>
      </w:r>
    </w:p>
    <w:p>
      <w:pPr>
        <w:pStyle w:val="Heading21"/>
        <w:keepNext/>
        <w:keepLines/>
        <w:spacing w:before="0" w:after="200"/>
        <w:ind w:left="0" w:right="0" w:hanging="0"/>
        <w:rPr>
          <w:rStyle w:val="Heading2"/>
          <w:b/>
          <w:bCs/>
          <w:color w:val="000000"/>
          <w:sz w:val="24"/>
          <w:szCs w:val="24"/>
        </w:rPr>
      </w:pPr>
      <w:bookmarkStart w:id="25" w:name="bookmark54"/>
      <w:bookmarkEnd w:id="25"/>
      <w:r>
        <w:rPr>
          <w:rStyle w:val="Heading2"/>
          <w:b/>
          <w:bCs/>
          <w:color w:val="000000"/>
          <w:sz w:val="24"/>
          <w:szCs w:val="24"/>
        </w:rPr>
        <w:t>1. Informácia o goodwille</w:t>
      </w:r>
    </w:p>
    <w:p>
      <w:pPr>
        <w:pStyle w:val="Telotextu"/>
        <w:spacing w:before="0" w:after="0"/>
        <w:ind w:left="0" w:right="0"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Dôvod vzniku goodvilu:</w:t>
      </w:r>
    </w:p>
    <w:p>
      <w:pPr>
        <w:pStyle w:val="Telotextu"/>
        <w:spacing w:before="0" w:after="0"/>
        <w:ind w:left="0" w:right="0"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Spôsob výpočtu:</w:t>
      </w:r>
    </w:p>
    <w:p>
      <w:pPr>
        <w:pStyle w:val="Telotextu"/>
        <w:spacing w:before="0" w:after="440"/>
        <w:ind w:left="0" w:right="0"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Odpisovanie:</w:t>
      </w:r>
    </w:p>
    <w:p>
      <w:pPr>
        <w:pStyle w:val="Heading21"/>
        <w:keepNext/>
        <w:keepLines/>
        <w:spacing w:before="0" w:after="660"/>
        <w:ind w:left="0" w:right="0" w:firstLine="440"/>
        <w:rPr>
          <w:rStyle w:val="Heading2"/>
          <w:b/>
          <w:bCs/>
          <w:color w:val="000000"/>
          <w:sz w:val="24"/>
          <w:szCs w:val="24"/>
        </w:rPr>
      </w:pPr>
      <w:bookmarkStart w:id="26" w:name="bookmark56"/>
      <w:bookmarkEnd w:id="26"/>
      <w:r>
        <w:rPr>
          <w:rStyle w:val="Heading2"/>
          <w:b/>
          <w:bCs/>
          <w:color w:val="000000"/>
          <w:sz w:val="24"/>
          <w:szCs w:val="24"/>
        </w:rPr>
        <w:t>INFORMÁCIE O ÚDAJOCH NA STRANE PASÍV SÚVAHY</w:t>
      </w:r>
    </w:p>
    <w:p>
      <w:pPr>
        <w:pStyle w:val="Heading21"/>
        <w:keepNext/>
        <w:keepLines/>
        <w:spacing w:before="0" w:after="200"/>
        <w:ind w:left="0" w:right="0" w:hanging="0"/>
        <w:rPr>
          <w:rStyle w:val="Heading2"/>
          <w:b/>
          <w:bCs/>
          <w:color w:val="000000"/>
          <w:sz w:val="24"/>
          <w:szCs w:val="24"/>
        </w:rPr>
      </w:pPr>
      <w:bookmarkStart w:id="27" w:name="bookmark58"/>
      <w:bookmarkEnd w:id="27"/>
      <w:r>
        <w:rPr>
          <w:rStyle w:val="Heading2"/>
          <w:b/>
          <w:bCs/>
          <w:color w:val="000000"/>
          <w:sz w:val="24"/>
          <w:szCs w:val="24"/>
        </w:rPr>
        <w:t>1. Informácie o záväzkoch</w:t>
      </w:r>
    </w:p>
    <w:p>
      <w:pPr>
        <w:pStyle w:val="Tablecaption1"/>
        <w:jc w:val="both"/>
        <w:rPr>
          <w:rStyle w:val="Tablecaption"/>
          <w:color w:val="000000"/>
          <w:sz w:val="24"/>
          <w:szCs w:val="24"/>
        </w:rPr>
      </w:pPr>
      <w:r>
        <w:rPr>
          <w:rStyle w:val="Tablecaption"/>
          <w:color w:val="000000"/>
          <w:sz w:val="24"/>
          <w:szCs w:val="24"/>
        </w:rPr>
        <w:t xml:space="preserve">a) Celková suma záväzkov so zostatkovou dobou splatnosti dlhšou ako 5 rokov: </w:t>
      </w:r>
    </w:p>
    <w:p>
      <w:pPr>
        <w:pStyle w:val="Tablecaption1"/>
        <w:jc w:val="both"/>
        <w:rPr>
          <w:rStyle w:val="Tablecaption"/>
          <w:color w:val="000000"/>
          <w:sz w:val="24"/>
          <w:szCs w:val="24"/>
        </w:rPr>
      </w:pPr>
      <w:r>
        <w:rPr>
          <w:rStyle w:val="Tablecaption"/>
          <w:color w:val="000000"/>
          <w:sz w:val="24"/>
          <w:szCs w:val="24"/>
        </w:rPr>
        <w:t xml:space="preserve"> </w:t>
      </w:r>
      <w:r>
        <w:rPr>
          <w:rStyle w:val="Tablecaption"/>
          <w:color w:val="000000"/>
          <w:sz w:val="24"/>
          <w:szCs w:val="24"/>
        </w:rPr>
        <w:t>b)</w:t>
      </w:r>
    </w:p>
    <w:p>
      <w:pPr>
        <w:pStyle w:val="Tablecaption1"/>
        <w:jc w:val="both"/>
        <w:rPr/>
      </w:pPr>
      <w:r>
        <w:rPr/>
      </w:r>
    </w:p>
    <w:tbl>
      <w:tblPr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nil"/>
          <w:insideV w:val="nil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3840"/>
        <w:gridCol w:w="2975"/>
        <w:gridCol w:w="2684"/>
      </w:tblGrid>
      <w:tr>
        <w:trPr>
          <w:trHeight w:val="624" w:hRule="exact"/>
          <w:cantSplit w:val="false"/>
        </w:trPr>
        <w:tc>
          <w:tcPr>
            <w:tcW w:w="3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100" w:after="0"/>
              <w:jc w:val="center"/>
              <w:rPr/>
            </w:pPr>
            <w:r>
              <w:rPr/>
              <w:t>0</w:t>
            </w:r>
          </w:p>
        </w:tc>
      </w:tr>
    </w:tbl>
    <w:p>
      <w:pPr>
        <w:pStyle w:val="Normal"/>
        <w:spacing w:lineRule="exact" w:line="1" w:before="0" w:after="199"/>
        <w:rPr>
          <w:color w:val="00000A"/>
        </w:rPr>
      </w:pPr>
      <w:r>
        <w:rPr>
          <w:color w:val="00000A"/>
        </w:rPr>
      </w:r>
    </w:p>
    <w:p>
      <w:pPr>
        <w:pStyle w:val="Telotextu"/>
        <w:spacing w:before="0" w:after="700"/>
        <w:ind w:left="440" w:right="0" w:hanging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2. Spoločnosť SPEN TRADE s.r.o. na základe uznesenia valného zhromaždenia vložila peňažný vklad vo výške 200 000,-- do kapitálových fondov spoločnosti STROPTEL, s.r.o. dňa 29.12.2010 a uznesením zo dňa 29.12.2011 vložila do KF spoločnosti STROPTEL, s.r.o. 430 000,- EUR.</w:t>
      </w:r>
    </w:p>
    <w:p>
      <w:pPr>
        <w:pStyle w:val="Telotextu"/>
        <w:spacing w:before="0" w:after="700"/>
        <w:ind w:left="440" w:right="0" w:hanging="44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</w:r>
    </w:p>
    <w:p>
      <w:pPr>
        <w:pStyle w:val="Telotextu"/>
        <w:spacing w:before="0" w:after="700"/>
        <w:ind w:left="440" w:right="0" w:hanging="440"/>
        <w:rPr>
          <w:rFonts w:cs="Microsoft Sans Serif" w:ascii="Microsoft Sans Serif" w:hAnsi="Microsoft Sans Serif"/>
          <w:sz w:val="24"/>
          <w:szCs w:val="24"/>
        </w:rPr>
      </w:pPr>
      <w:r>
        <w:rPr>
          <w:rFonts w:cs="Microsoft Sans Serif" w:ascii="Microsoft Sans Serif" w:hAnsi="Microsoft Sans Serif"/>
          <w:sz w:val="24"/>
          <w:szCs w:val="24"/>
        </w:rPr>
      </w:r>
    </w:p>
    <w:p>
      <w:pPr>
        <w:pStyle w:val="Heading11"/>
        <w:keepNext/>
        <w:keepLines/>
        <w:spacing w:lineRule="auto" w:line="290"/>
        <w:rPr>
          <w:rStyle w:val="Heading1"/>
          <w:b/>
          <w:bCs/>
          <w:color w:val="000000"/>
          <w:sz w:val="24"/>
          <w:szCs w:val="24"/>
        </w:rPr>
      </w:pPr>
      <w:bookmarkStart w:id="28" w:name="bookmark60"/>
      <w:bookmarkEnd w:id="28"/>
      <w:r>
        <w:rPr>
          <w:rStyle w:val="Heading1"/>
          <w:b/>
          <w:bCs/>
          <w:color w:val="000000"/>
          <w:sz w:val="24"/>
          <w:szCs w:val="24"/>
        </w:rPr>
        <w:t>1. Informácie k prílohe č. 3 časti F. písm. t) a u) o pohľadávkach zabezpečených záložným právom alebo inou formou zabezpečenia</w:t>
      </w:r>
    </w:p>
    <w:tbl>
      <w:tblPr>
        <w:jc w:val="center"/>
        <w:tblInd w:w="0" w:type="dxa"/>
        <w:tblBorders>
          <w:top w:val="single" w:sz="4" w:space="0" w:color="00000A"/>
          <w:left w:val="single" w:sz="4" w:space="0" w:color="00000A"/>
          <w:bottom w:val="nil"/>
          <w:insideH w:val="nil"/>
          <w:right w:val="nil"/>
          <w:insideV w:val="nil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4891"/>
        <w:gridCol w:w="2327"/>
        <w:gridCol w:w="2280"/>
      </w:tblGrid>
      <w:tr>
        <w:trPr>
          <w:trHeight w:val="298" w:hRule="exact"/>
          <w:cantSplit w:val="false"/>
        </w:trPr>
        <w:tc>
          <w:tcPr>
            <w:tcW w:w="489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  <w:t>Opis predmetu záložného práva</w:t>
            </w:r>
          </w:p>
        </w:tc>
        <w:tc>
          <w:tcPr>
            <w:tcW w:w="4607" w:type="dxa"/>
            <w:gridSpan w:val="2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>
        <w:trPr>
          <w:trHeight w:val="739" w:hRule="exact"/>
          <w:cantSplit w:val="false"/>
        </w:trPr>
        <w:tc>
          <w:tcPr>
            <w:tcW w:w="4891" w:type="dxa"/>
            <w:vMerge w:val="continue"/>
            <w:tcBorders>
              <w:top w:val="nil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Fonts w:cs="Microsoft Sans Serif" w:ascii="Microsoft Sans Serif" w:hAnsi="Microsoft Sans Serif"/>
                <w:sz w:val="24"/>
                <w:szCs w:val="24"/>
              </w:rPr>
            </w:pPr>
            <w:r>
              <w:rPr>
                <w:rFonts w:cs="Microsoft Sans Serif" w:ascii="Microsoft Sans Serif" w:hAnsi="Microsoft Sans Serif"/>
                <w:sz w:val="24"/>
                <w:szCs w:val="24"/>
              </w:rPr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  <w:t>Hodnota predmetu záložného práva</w:t>
            </w: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lineRule="auto" w:line="290" w:before="0" w:after="0"/>
              <w:jc w:val="center"/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cs="Arial" w:ascii="Arial" w:hAnsi="Arial"/>
                <w:b/>
                <w:bCs/>
                <w:color w:val="000000"/>
                <w:sz w:val="24"/>
                <w:szCs w:val="24"/>
              </w:rPr>
              <w:t>Hodnota pohľadávky</w:t>
            </w:r>
          </w:p>
        </w:tc>
      </w:tr>
      <w:tr>
        <w:trPr>
          <w:trHeight w:val="533" w:hRule="exact"/>
          <w:cantSplit w:val="false"/>
        </w:trPr>
        <w:tc>
          <w:tcPr>
            <w:tcW w:w="4891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bottom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Normal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Normal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797" w:hRule="exact"/>
          <w:cantSplit w:val="false"/>
        </w:trPr>
        <w:tc>
          <w:tcPr>
            <w:tcW w:w="4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Hodnota pohľadávok, na ktoré sa zriadilo záložné právo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x</w:t>
            </w:r>
          </w:p>
        </w:tc>
        <w:tc>
          <w:tcPr>
            <w:tcW w:w="2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-5" w:type="dxa"/>
            </w:tcMar>
            <w:vAlign w:val="center"/>
          </w:tcPr>
          <w:p>
            <w:pPr>
              <w:pStyle w:val="Other1"/>
              <w:spacing w:before="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0</w:t>
            </w:r>
          </w:p>
          <w:p>
            <w:pPr>
              <w:pStyle w:val="Other1"/>
              <w:spacing w:before="0" w:after="0"/>
              <w:jc w:val="center"/>
              <w:rPr>
                <w:rFonts w:cs="Microsoft Sans Serif" w:ascii="Microsoft Sans Serif" w:hAnsi="Microsoft Sans Serif"/>
                <w:sz w:val="24"/>
                <w:szCs w:val="24"/>
              </w:rPr>
            </w:pPr>
            <w:r>
              <w:rPr>
                <w:rFonts w:cs="Microsoft Sans Serif" w:ascii="Microsoft Sans Serif" w:hAnsi="Microsoft Sans Serif"/>
                <w:sz w:val="24"/>
                <w:szCs w:val="24"/>
              </w:rPr>
            </w:r>
          </w:p>
        </w:tc>
      </w:tr>
    </w:tbl>
    <w:p>
      <w:pPr>
        <w:pStyle w:val="Telotextu"/>
        <w:spacing w:before="0" w:after="260"/>
        <w:ind w:left="440" w:right="0" w:firstLine="38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NÁKLADOCH A VÝNOSOCH</w:t>
      </w:r>
    </w:p>
    <w:p>
      <w:pPr>
        <w:pStyle w:val="Heading21"/>
        <w:keepNext/>
        <w:keepLines/>
        <w:numPr>
          <w:ilvl w:val="0"/>
          <w:numId w:val="7"/>
        </w:numPr>
        <w:tabs>
          <w:tab w:val="left" w:pos="350" w:leader="none"/>
        </w:tabs>
        <w:spacing w:before="0" w:after="200"/>
        <w:ind w:left="44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29" w:name="bookmark62"/>
      <w:bookmarkEnd w:id="29"/>
      <w:r>
        <w:rPr>
          <w:rStyle w:val="Heading2"/>
          <w:b/>
          <w:bCs/>
          <w:color w:val="000000"/>
          <w:sz w:val="24"/>
          <w:szCs w:val="24"/>
        </w:rPr>
        <w:t>Informácia o nákladoch a výnosoch, ktoré majú výnimočný rozsah alebo výskyt:</w:t>
      </w:r>
    </w:p>
    <w:p>
      <w:pPr>
        <w:pStyle w:val="Telotextu"/>
        <w:spacing w:before="0" w:after="520"/>
        <w:ind w:left="440" w:right="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Nenastali</w:t>
      </w:r>
    </w:p>
    <w:p>
      <w:pPr>
        <w:pStyle w:val="Heading21"/>
        <w:keepNext/>
        <w:keepLines/>
        <w:spacing w:before="0" w:after="260"/>
        <w:ind w:left="440" w:right="0" w:firstLine="380"/>
        <w:rPr>
          <w:rStyle w:val="Heading2"/>
          <w:b/>
          <w:bCs/>
          <w:color w:val="000000"/>
          <w:sz w:val="24"/>
          <w:szCs w:val="24"/>
        </w:rPr>
      </w:pPr>
      <w:bookmarkStart w:id="30" w:name="bookmark64"/>
      <w:bookmarkEnd w:id="30"/>
      <w:r>
        <w:rPr>
          <w:rStyle w:val="Heading2"/>
          <w:b/>
          <w:bCs/>
          <w:color w:val="000000"/>
          <w:sz w:val="24"/>
          <w:szCs w:val="24"/>
        </w:rPr>
        <w:t>INFORMÁCIE O INÝCH AKTÍVACH A INÝCH PASÍVACH</w:t>
      </w:r>
    </w:p>
    <w:p>
      <w:pPr>
        <w:pStyle w:val="Telotextu"/>
        <w:spacing w:before="0" w:after="6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neeviduje iné aktíva a iné pasíva</w:t>
      </w:r>
    </w:p>
    <w:p>
      <w:pPr>
        <w:pStyle w:val="Heading21"/>
        <w:keepNext/>
        <w:keepLines/>
        <w:numPr>
          <w:ilvl w:val="0"/>
          <w:numId w:val="7"/>
        </w:numPr>
        <w:tabs>
          <w:tab w:val="left" w:pos="350" w:leader="none"/>
        </w:tabs>
        <w:spacing w:before="0" w:after="200"/>
        <w:ind w:left="44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31" w:name="bookmark66"/>
      <w:bookmarkEnd w:id="31"/>
      <w:r>
        <w:rPr>
          <w:rStyle w:val="Heading2"/>
          <w:b/>
          <w:bCs/>
          <w:color w:val="000000"/>
          <w:sz w:val="24"/>
          <w:szCs w:val="24"/>
        </w:rPr>
        <w:t>Významné položky prenajatého majetku</w:t>
      </w:r>
    </w:p>
    <w:p>
      <w:pPr>
        <w:pStyle w:val="Telotextu"/>
        <w:ind w:left="440" w:right="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na základe nájomnej zmluvy si prenajíma nehnuteľnosť - - Budovu v ktorej sídli.</w:t>
      </w:r>
    </w:p>
    <w:p>
      <w:pPr>
        <w:pStyle w:val="Heading21"/>
        <w:keepNext/>
        <w:keepLines/>
        <w:numPr>
          <w:ilvl w:val="0"/>
          <w:numId w:val="7"/>
        </w:numPr>
        <w:tabs>
          <w:tab w:val="left" w:pos="350" w:leader="none"/>
        </w:tabs>
        <w:spacing w:before="0" w:after="200"/>
        <w:ind w:left="440" w:right="0" w:hanging="360"/>
        <w:rPr>
          <w:rStyle w:val="Heading2"/>
          <w:b/>
          <w:bCs/>
          <w:color w:val="000000"/>
          <w:sz w:val="24"/>
          <w:szCs w:val="24"/>
        </w:rPr>
      </w:pPr>
      <w:bookmarkStart w:id="32" w:name="bookmark68"/>
      <w:bookmarkEnd w:id="32"/>
      <w:r>
        <w:rPr>
          <w:rStyle w:val="Heading2"/>
          <w:b/>
          <w:bCs/>
          <w:color w:val="000000"/>
          <w:sz w:val="24"/>
          <w:szCs w:val="24"/>
        </w:rPr>
        <w:t>Informácia o odpísaných pohľadávkach</w:t>
      </w:r>
    </w:p>
    <w:p>
      <w:pPr>
        <w:pStyle w:val="Telotextu"/>
        <w:spacing w:before="0" w:after="400"/>
        <w:ind w:left="440" w:right="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na podsúvahovej evidencii eviduje odpísané pohľadávky vo hodnote 56 844,28,- EUR</w:t>
      </w:r>
    </w:p>
    <w:p>
      <w:pPr>
        <w:pStyle w:val="Heading21"/>
        <w:keepNext/>
        <w:keepLines/>
        <w:ind w:left="440" w:right="0" w:hanging="0"/>
        <w:rPr>
          <w:rStyle w:val="Heading2"/>
          <w:color w:val="000000"/>
          <w:sz w:val="24"/>
          <w:szCs w:val="24"/>
        </w:rPr>
      </w:pPr>
      <w:bookmarkStart w:id="33" w:name="bookmark70"/>
      <w:r>
        <w:rPr>
          <w:rStyle w:val="Heading2"/>
          <w:b/>
          <w:bCs/>
          <w:color w:val="000000"/>
          <w:sz w:val="24"/>
          <w:szCs w:val="24"/>
        </w:rPr>
        <w:t>Informácia o poistení majetk</w:t>
      </w:r>
      <w:bookmarkEnd w:id="33"/>
      <w:r>
        <w:rPr>
          <w:rStyle w:val="Heading2"/>
          <w:color w:val="000000"/>
          <w:sz w:val="24"/>
          <w:szCs w:val="24"/>
        </w:rPr>
        <w:t>u:</w:t>
      </w:r>
    </w:p>
    <w:p>
      <w:pPr>
        <w:pStyle w:val="Telotextu"/>
        <w:spacing w:before="0" w:after="3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Celý majetok spoločnosti Stroptel s.r.o., je poistený v spoločnosti KOOPERATÍVA poisťovňa a.s.</w:t>
      </w:r>
    </w:p>
    <w:p>
      <w:pPr>
        <w:pStyle w:val="Heading21"/>
        <w:keepNext/>
        <w:keepLines/>
        <w:ind w:left="440" w:right="0" w:firstLine="380"/>
        <w:rPr>
          <w:rStyle w:val="Heading2"/>
          <w:b/>
          <w:bCs/>
          <w:color w:val="000000"/>
          <w:sz w:val="24"/>
          <w:szCs w:val="24"/>
        </w:rPr>
      </w:pPr>
      <w:bookmarkStart w:id="34" w:name="bookmark72"/>
      <w:bookmarkEnd w:id="34"/>
      <w:r>
        <w:rPr>
          <w:rStyle w:val="Heading2"/>
          <w:b/>
          <w:bCs/>
          <w:color w:val="000000"/>
          <w:sz w:val="24"/>
          <w:szCs w:val="24"/>
        </w:rPr>
        <w:t>INFORMÁCIE O SKUTOČNOSTIACH, KTORÉ NASTALI PO DNI, KU KTORÉMU SA ZOSTAVUJE ÚČTOVNÁ</w:t>
      </w:r>
    </w:p>
    <w:p>
      <w:pPr>
        <w:pStyle w:val="Heading21"/>
        <w:keepNext/>
        <w:keepLines/>
        <w:spacing w:before="0" w:after="260"/>
        <w:ind w:left="440" w:right="0" w:firstLine="38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ZÁVIERKA, DO DŇA ZOSTAVENIA ÚČTOVNEJ ZÁVIERKY</w:t>
      </w:r>
    </w:p>
    <w:p>
      <w:pPr>
        <w:pStyle w:val="Telotextu"/>
        <w:ind w:left="440" w:right="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 31. decembri 2023 nenastali žiadne zmeny, ktoré by mali významný vplyv na verné zobrazenie skutočnosti, ktoré sú predmetom účtovníctva.</w:t>
      </w:r>
    </w:p>
    <w:p>
      <w:pPr>
        <w:pStyle w:val="Telotextu"/>
        <w:ind w:left="440" w:right="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bola zostavená za predpokladu, že spoločnosť bude nepretržite pokračovať vo svojej činnosti (going concern).</w:t>
      </w:r>
    </w:p>
    <w:p>
      <w:pPr>
        <w:pStyle w:val="Telotextu"/>
        <w:spacing w:before="0" w:after="260"/>
        <w:ind w:left="440" w:right="0" w:hanging="440"/>
        <w:rPr/>
      </w:pPr>
      <w:r>
        <w:rPr/>
      </w:r>
    </w:p>
    <w:p>
      <w:pPr>
        <w:pStyle w:val="Telotextu"/>
        <w:spacing w:before="0" w:after="260"/>
        <w:ind w:left="440" w:right="0" w:hanging="440"/>
        <w:rPr/>
      </w:pPr>
      <w:r>
        <w:rPr/>
      </w:r>
    </w:p>
    <w:p>
      <w:pPr>
        <w:pStyle w:val="Telotextu"/>
        <w:spacing w:before="0" w:after="260"/>
        <w:ind w:left="440" w:right="0" w:hanging="440"/>
        <w:rPr/>
      </w:pPr>
      <w:r>
        <w:rPr/>
      </w:r>
    </w:p>
    <w:p>
      <w:pPr>
        <w:pStyle w:val="Telotextu"/>
        <w:spacing w:before="0" w:after="260"/>
        <w:ind w:left="440" w:right="0" w:hanging="44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387" w:right="957" w:header="567" w:top="1633" w:footer="0" w:bottom="1427" w:gutter="0"/>
      <w:pgNumType w:start="1"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Microsoft Sans Serif"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Normal"/>
      <w:spacing w:lineRule="exact" w:line="1"/>
      <w:rPr>
        <w:color w:val="00000A"/>
      </w:rPr>
    </w:pPr>
    <w:r>
      <w:rPr>
        <w:color w:val="00000A"/>
      </w:rPr>
    </w:r>
    <w:r>
      <w:pict>
        <v:rect fillcolor="#FFFFFF" stroked="f" strokeweight="0pt" style="position:absolute;width:5.05pt;height:11.55pt;mso-wrap-distance-left:0pt;mso-wrap-distance-right:0pt;mso-wrap-distance-top:0pt;mso-wrap-distance-bottom:0pt;margin-top:801.2pt;margin-left:541.65pt">
          <v:textbox inset="0in,0in,0in,0in">
            <w:txbxContent>
              <w:p>
                <w:pPr>
                  <w:pStyle w:val="Headerorfooter21"/>
                  <w:rPr/>
                </w:pPr>
                <w:r>
                  <w:rPr/>
                  <w:fldChar w:fldCharType="begin"/>
                </w:r>
                <w:r>
                  <w:instrText> PAGE </w:instrText>
                </w:r>
                <w:r>
                  <w:fldChar w:fldCharType="separate"/>
                </w:r>
                <w:r>
                  <w:t>8</w:t>
                </w:r>
                <w:r>
                  <w:fldChar w:fldCharType="end"/>
                </w:r>
              </w:p>
            </w:txbxContent>
          </v:textbox>
        </v:rect>
      </w:pic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15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nil"/>
        <w:insideV w:val="nil"/>
      </w:tblBorders>
      <w:tblCellMar>
        <w:top w:w="0" w:type="dxa"/>
        <w:left w:w="-5" w:type="dxa"/>
        <w:bottom w:w="0" w:type="dxa"/>
        <w:right w:w="0" w:type="dxa"/>
      </w:tblCellMar>
    </w:tblPr>
    <w:tblGrid>
      <w:gridCol w:w="2784"/>
      <w:gridCol w:w="917"/>
      <w:gridCol w:w="273"/>
      <w:gridCol w:w="277"/>
      <w:gridCol w:w="273"/>
      <w:gridCol w:w="277"/>
      <w:gridCol w:w="277"/>
      <w:gridCol w:w="273"/>
      <w:gridCol w:w="277"/>
      <w:gridCol w:w="277"/>
      <w:gridCol w:w="914"/>
      <w:gridCol w:w="277"/>
      <w:gridCol w:w="277"/>
      <w:gridCol w:w="283"/>
      <w:gridCol w:w="277"/>
      <w:gridCol w:w="276"/>
      <w:gridCol w:w="281"/>
      <w:gridCol w:w="277"/>
      <w:gridCol w:w="276"/>
      <w:gridCol w:w="282"/>
      <w:gridCol w:w="321"/>
    </w:tblGrid>
    <w:tr>
      <w:trPr>
        <w:trHeight w:val="355" w:hRule="exact"/>
        <w:cantSplit w:val="false"/>
      </w:trPr>
      <w:tc>
        <w:tcPr>
          <w:tcW w:w="27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bottom"/>
        </w:tcPr>
        <w:p>
          <w:pPr>
            <w:pStyle w:val="Other1"/>
            <w:spacing w:before="0" w:after="0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Poznámky Úč POD 3 - 01</w:t>
          </w:r>
        </w:p>
      </w:tc>
      <w:tc>
        <w:tcPr>
          <w:tcW w:w="917" w:type="dxa"/>
          <w:tcBorders>
            <w:top w:val="nil"/>
            <w:left w:val="single" w:sz="4" w:space="0" w:color="00000A"/>
            <w:bottom w:val="nil"/>
            <w:insideH w:val="nil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right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IČO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7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8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4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914" w:type="dxa"/>
          <w:tcBorders>
            <w:top w:val="nil"/>
            <w:left w:val="single" w:sz="4" w:space="0" w:color="00000A"/>
            <w:bottom w:val="nil"/>
            <w:insideH w:val="nil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sz w:val="24"/>
              <w:szCs w:val="20"/>
            </w:rPr>
            <w:t>|</w:t>
          </w:r>
          <w:r>
            <w:rPr>
              <w:rStyle w:val="Other"/>
              <w:color w:val="000000"/>
              <w:sz w:val="20"/>
              <w:szCs w:val="20"/>
            </w:rPr>
            <w:t xml:space="preserve">  DIČ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nil"/>
            <w:insideV w:val="nil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-5" w:type="dxa"/>
          </w:tcMar>
          <w:vAlign w:val="center"/>
        </w:tcPr>
        <w:p>
          <w:pPr>
            <w:pStyle w:val="Other1"/>
            <w:spacing w:before="0"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</w:tr>
  </w:tbl>
  <w:p>
    <w:pPr>
      <w:pStyle w:val="Normal"/>
      <w:spacing w:lineRule="exact" w:line="1"/>
      <w:rPr>
        <w:color w:val="00000A"/>
      </w:rPr>
    </w:pPr>
    <w:r>
      <w:rPr>
        <w:color w:val="00000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1">
      <w:start w:val="1"/>
      <w:numFmt w:val="lowerLetter"/>
      <w:lvlText w:val="%1.%2)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2">
      <w:start w:val="1"/>
      <w:numFmt w:val="lowerLetter"/>
      <w:lvlText w:val="%1.%2.%3)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3">
      <w:start w:val="1"/>
      <w:numFmt w:val="lowerLetter"/>
      <w:lvlText w:val="%1.%2.%3.%4)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4">
      <w:start w:val="1"/>
      <w:numFmt w:val="lowerLetter"/>
      <w:lvlText w:val="%1.%2.%3.%4.%5)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5">
      <w:start w:val="1"/>
      <w:numFmt w:val="lowerLetter"/>
      <w:lvlText w:val="%1.%2.%3.%4.%5.%6)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6">
      <w:start w:val="1"/>
      <w:numFmt w:val="lowerLetter"/>
      <w:lvlText w:val="%1.%2.%3.%4.%5.%6.%7)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7">
      <w:start w:val="1"/>
      <w:numFmt w:val="lowerLetter"/>
      <w:lvlText w:val="%1.%2.%3.%4.%5.%6.%7.%8)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8">
      <w:start w:val="1"/>
      <w:numFmt w:val="lowerLetter"/>
      <w:lvlText w:val="%1.%2.%3.%4.%5.%6.%7.%8.%9)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</w:abstractNum>
  <w:abstractNum w:abstractNumId="3">
    <w:lvl w:ilvl="0">
      <w:start w:val="1"/>
      <w:numFmt w:val="lowerLetter"/>
      <w:lvlText w:val="(%1)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1"/>
      <w:numFmt w:val="lowerLetter"/>
      <w:lvlText w:val="(%1.%2)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1"/>
      <w:numFmt w:val="lowerLetter"/>
      <w:lvlText w:val="(%1.%2.%3)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1"/>
      <w:numFmt w:val="lowerLetter"/>
      <w:lvlText w:val="(%1.%2.%3.%4)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1"/>
      <w:numFmt w:val="lowerLetter"/>
      <w:lvlText w:val="(%1.%2.%3.%4.%5)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1"/>
      <w:numFmt w:val="lowerLetter"/>
      <w:lvlText w:val="(%1.%2.%3.%4.%5.%6)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1"/>
      <w:numFmt w:val="lowerLetter"/>
      <w:lvlText w:val="(%1.%2.%3.%4.%5.%6.%7)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1"/>
      <w:numFmt w:val="lowerLetter"/>
      <w:lvlText w:val="(%1.%2.%3.%4.%5.%6.%7.%8)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1"/>
      <w:numFmt w:val="lowerLetter"/>
      <w:lvlText w:val="(%1.%2.%3.%4.%5.%6.%7.%8.%9)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4">
    <w:lvl w:ilvl="0">
      <w:start w:val="2"/>
      <w:numFmt w:val="lowerLetter"/>
      <w:lvlText w:val="(%1)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2"/>
      <w:numFmt w:val="lowerLetter"/>
      <w:lvlText w:val="(%1.%2)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2"/>
      <w:numFmt w:val="lowerLetter"/>
      <w:lvlText w:val="(%1.%2.%3)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2"/>
      <w:numFmt w:val="lowerLetter"/>
      <w:lvlText w:val="(%1.%2.%3.%4)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2"/>
      <w:numFmt w:val="lowerLetter"/>
      <w:lvlText w:val="(%1.%2.%3.%4.%5)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2"/>
      <w:numFmt w:val="lowerLetter"/>
      <w:lvlText w:val="(%1.%2.%3.%4.%5.%6)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2"/>
      <w:numFmt w:val="lowerLetter"/>
      <w:lvlText w:val="(%1.%2.%3.%4.%5.%6.%7)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2"/>
      <w:numFmt w:val="lowerLetter"/>
      <w:lvlText w:val="(%1.%2.%3.%4.%5.%6.%7.%8)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2"/>
      <w:numFmt w:val="lowerLetter"/>
      <w:lvlText w:val="(%1.%2.%3.%4.%5.%6.%7.%8.%9)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1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3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4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5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6">
      <w:start w:val="1"/>
      <w:numFmt w:val="bullet"/>
      <w:lvlText w:val="-"/>
      <w:lvlJc w:val="left"/>
      <w:pPr>
        <w:ind w:left="288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7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  <w:lvl w:ilvl="8">
      <w:start w:val="1"/>
      <w:numFmt w:val="bullet"/>
      <w:lvlText w:val="-"/>
      <w:lvlJc w:val="left"/>
      <w:pPr>
        <w:ind w:left="3600" w:hanging="360"/>
      </w:pPr>
      <w:rPr>
        <w:rFonts w:ascii="Times New Roman" w:hAnsi="Times New Roman" w:cs="Times New Roman" w:hint="default"/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 w:val="false"/>
        <w:szCs w:val="18"/>
        <w:iCs w:val="false"/>
        <w:bCs w:val="false"/>
        <w:w w:val="100"/>
      </w:r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smallCaps w:val="false"/>
        <w:caps w:val="false"/>
        <w:color w:val="000000"/>
        <w:dstrike w:val="false"/>
        <w:strike w:val="false"/>
        <w:sz w:val="18"/>
        <w:spacing w:val="0"/>
        <w:i w:val="false"/>
        <w:u w:val="none"/>
        <w:b/>
        <w:szCs w:val="18"/>
        <w:iCs w:val="false"/>
        <w:bCs/>
        <w:w w:val="100"/>
      </w:rPr>
    </w:lvl>
  </w:abstractNum>
  <w:abstractNum w:abstractNumId="8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95"/>
  <w:embedSystemFonts/>
  <w:defaultTabStop w:val="720"/>
</w:settings>
</file>

<file path=word/styles.xml><?xml version="1.0" encoding="utf-8"?>
<w:styles xmlns:w="http://schemas.openxmlformats.org/wordprocessingml/2006/main">
  <w:docDefaults>
    <w:rPrDefault>
      <w:rPr>
        <w:rFonts w:ascii="Microsoft Sans Serif" w:hAnsi="Microsoft Sans Serif" w:eastAsia="Times New Roman" w:cs="Times New Roman"/>
        <w:sz w:val="24"/>
        <w:szCs w:val="24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nhideWhenUsed="0" w:name="Default Paragraph Font"/>
    <w:lsdException w:qFormat="1" w:unhideWhenUsed="0" w:name="Body Tex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3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 w:val="false"/>
      <w:suppressAutoHyphens w:val="true"/>
      <w:bidi w:val="0"/>
      <w:jc w:val="left"/>
    </w:pPr>
    <w:rPr>
      <w:rFonts w:ascii="Microsoft Sans Serif" w:hAnsi="Microsoft Sans Serif" w:eastAsia="Times New Roman" w:cs="Microsoft Sans Serif"/>
      <w:color w:val="000000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ZkladntextChar1" w:customStyle="1">
    <w:name w:val="Základný text Char1"/>
    <w:uiPriority w:val="99"/>
    <w:link w:val="Zkladntext"/>
    <w:basedOn w:val="DefaultParagraphFont"/>
    <w:rPr>
      <w:rFonts w:ascii="Times New Roman" w:hAnsi="Times New Roman" w:cs="Times New Roman"/>
      <w:sz w:val="18"/>
      <w:szCs w:val="18"/>
      <w:u w:val="none"/>
    </w:rPr>
  </w:style>
  <w:style w:type="character" w:styleId="Headerorfooter2" w:customStyle="1">
    <w:name w:val="Header or footer (2)_"/>
    <w:uiPriority w:val="99"/>
    <w:link w:val="Headerorfooter20"/>
    <w:basedOn w:val="DefaultParagraphFont"/>
    <w:rPr>
      <w:rFonts w:ascii="Times New Roman" w:hAnsi="Times New Roman" w:cs="Times New Roman"/>
      <w:sz w:val="20"/>
      <w:szCs w:val="20"/>
      <w:u w:val="none"/>
      <w:lang w:val="cs-CZ" w:eastAsia="cs-CZ"/>
    </w:rPr>
  </w:style>
  <w:style w:type="character" w:styleId="Heading2" w:customStyle="1">
    <w:name w:val="Heading #2_"/>
    <w:uiPriority w:val="99"/>
    <w:link w:val="Heading20"/>
    <w:basedOn w:val="DefaultParagraphFont"/>
    <w:rPr>
      <w:rFonts w:ascii="Times New Roman" w:hAnsi="Times New Roman" w:cs="Times New Roman"/>
      <w:b/>
      <w:bCs/>
      <w:sz w:val="18"/>
      <w:szCs w:val="18"/>
      <w:u w:val="none"/>
    </w:rPr>
  </w:style>
  <w:style w:type="character" w:styleId="Other" w:customStyle="1">
    <w:name w:val="Other_"/>
    <w:uiPriority w:val="99"/>
    <w:link w:val="Other0"/>
    <w:basedOn w:val="DefaultParagraphFont"/>
    <w:rPr>
      <w:rFonts w:ascii="Times New Roman" w:hAnsi="Times New Roman" w:cs="Times New Roman"/>
      <w:sz w:val="18"/>
      <w:szCs w:val="18"/>
      <w:u w:val="none"/>
    </w:rPr>
  </w:style>
  <w:style w:type="character" w:styleId="Headerorfooter" w:customStyle="1">
    <w:name w:val="Header or footer_"/>
    <w:uiPriority w:val="99"/>
    <w:link w:val="Headerorfooter0"/>
    <w:basedOn w:val="DefaultParagraphFont"/>
    <w:rPr>
      <w:rFonts w:ascii="Times New Roman" w:hAnsi="Times New Roman" w:cs="Times New Roman"/>
      <w:sz w:val="20"/>
      <w:szCs w:val="20"/>
      <w:u w:val="none"/>
    </w:rPr>
  </w:style>
  <w:style w:type="character" w:styleId="Tablecaption" w:customStyle="1">
    <w:name w:val="Table caption_"/>
    <w:uiPriority w:val="99"/>
    <w:link w:val="Tablecaption0"/>
    <w:basedOn w:val="DefaultParagraphFont"/>
    <w:rPr>
      <w:rFonts w:ascii="Times New Roman" w:hAnsi="Times New Roman" w:cs="Times New Roman"/>
      <w:sz w:val="18"/>
      <w:szCs w:val="18"/>
      <w:u w:val="none"/>
    </w:rPr>
  </w:style>
  <w:style w:type="character" w:styleId="Heading1" w:customStyle="1">
    <w:name w:val="Heading #1_"/>
    <w:uiPriority w:val="99"/>
    <w:link w:val="Heading10"/>
    <w:basedOn w:val="DefaultParagraphFont"/>
    <w:rPr>
      <w:rFonts w:ascii="Arial" w:hAnsi="Arial" w:cs="Arial"/>
      <w:b/>
      <w:bCs/>
      <w:sz w:val="18"/>
      <w:szCs w:val="18"/>
      <w:u w:val="none"/>
    </w:rPr>
  </w:style>
  <w:style w:type="character" w:styleId="ZkladntextChar" w:customStyle="1">
    <w:name w:val="Základný text Char"/>
    <w:uiPriority w:val="99"/>
    <w:semiHidden/>
    <w:basedOn w:val="DefaultParagraphFont"/>
    <w:rPr>
      <w:rFonts w:cs="Microsoft Sans Serif"/>
      <w:color w:val="000000"/>
    </w:rPr>
  </w:style>
  <w:style w:type="character" w:styleId="HlavikaChar" w:customStyle="1">
    <w:name w:val="Hlavička Char"/>
    <w:uiPriority w:val="99"/>
    <w:link w:val="Hlavika"/>
    <w:rsid w:val="004a77fc"/>
    <w:basedOn w:val="DefaultParagraphFont"/>
    <w:rPr>
      <w:rFonts w:cs="Microsoft Sans Serif"/>
      <w:color w:val="000000"/>
    </w:rPr>
  </w:style>
  <w:style w:type="character" w:styleId="PtaChar" w:customStyle="1">
    <w:name w:val="Päta Char"/>
    <w:uiPriority w:val="99"/>
    <w:link w:val="Pta"/>
    <w:rsid w:val="004a77fc"/>
    <w:basedOn w:val="DefaultParagraphFont"/>
    <w:rPr>
      <w:rFonts w:cs="Microsoft Sans Serif"/>
      <w:color w:val="000000"/>
    </w:rPr>
  </w:style>
  <w:style w:type="character" w:styleId="ListLabel1">
    <w:name w:val="ListLabel 1"/>
    <w:rPr>
      <w:rFonts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2">
    <w:name w:val="ListLabel 2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3">
    <w:name w:val="ListLabel 3"/>
    <w:rPr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4">
    <w:name w:val="ListLabel 4"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5">
    <w:name w:val="ListLabel 5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6">
    <w:name w:val="ListLabel 6"/>
    <w:rPr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7">
    <w:name w:val="ListLabel 7"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8">
    <w:name w:val="ListLabel 8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9">
    <w:name w:val="ListLabel 9"/>
    <w:rPr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10">
    <w:name w:val="ListLabel 10"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11">
    <w:name w:val="ListLabel 11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12">
    <w:name w:val="ListLabel 12"/>
    <w:rPr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13">
    <w:name w:val="ListLabel 13"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character" w:styleId="ListLabel14">
    <w:name w:val="ListLabel 14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8"/>
      <w:szCs w:val="18"/>
      <w:u w:val="none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uiPriority w:val="99"/>
    <w:qFormat/>
    <w:link w:val="ZkladntextChar1"/>
    <w:basedOn w:val="Normal"/>
    <w:pPr>
      <w:spacing w:lineRule="auto" w:line="288" w:before="0" w:after="200"/>
    </w:pPr>
    <w:rPr>
      <w:rFonts w:ascii="Times New Roman" w:hAnsi="Times New Roman" w:cs="Times New Roman"/>
      <w:color w:val="00000A"/>
      <w:sz w:val="18"/>
      <w:szCs w:val="18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Headerorfooter21" w:customStyle="1">
    <w:name w:val="Header or footer (2)"/>
    <w:uiPriority w:val="99"/>
    <w:link w:val="Headerorfooter2"/>
    <w:basedOn w:val="Normal"/>
    <w:pPr/>
    <w:rPr>
      <w:rFonts w:ascii="Times New Roman" w:hAnsi="Times New Roman" w:cs="Times New Roman"/>
      <w:color w:val="00000A"/>
      <w:sz w:val="20"/>
      <w:szCs w:val="20"/>
      <w:lang w:val="cs-CZ" w:eastAsia="cs-CZ"/>
    </w:rPr>
  </w:style>
  <w:style w:type="paragraph" w:styleId="Heading21" w:customStyle="1">
    <w:name w:val="Heading #2"/>
    <w:uiPriority w:val="99"/>
    <w:link w:val="Heading2"/>
    <w:basedOn w:val="Normal"/>
    <w:pPr>
      <w:ind w:left="0" w:right="0" w:firstLine="360"/>
      <w:outlineLvl w:val="1"/>
    </w:pPr>
    <w:rPr>
      <w:rFonts w:ascii="Times New Roman" w:hAnsi="Times New Roman" w:cs="Times New Roman"/>
      <w:b/>
      <w:bCs/>
      <w:color w:val="00000A"/>
      <w:sz w:val="18"/>
      <w:szCs w:val="18"/>
    </w:rPr>
  </w:style>
  <w:style w:type="paragraph" w:styleId="Other1" w:customStyle="1">
    <w:name w:val="Other"/>
    <w:uiPriority w:val="99"/>
    <w:link w:val="Other"/>
    <w:basedOn w:val="Normal"/>
    <w:pPr>
      <w:spacing w:before="0" w:after="200"/>
    </w:pPr>
    <w:rPr>
      <w:rFonts w:ascii="Times New Roman" w:hAnsi="Times New Roman" w:cs="Times New Roman"/>
      <w:color w:val="00000A"/>
      <w:sz w:val="18"/>
      <w:szCs w:val="18"/>
    </w:rPr>
  </w:style>
  <w:style w:type="paragraph" w:styleId="Headerorfooter1" w:customStyle="1">
    <w:name w:val="Header or footer"/>
    <w:uiPriority w:val="99"/>
    <w:link w:val="Headerorfooter"/>
    <w:basedOn w:val="Normal"/>
    <w:pPr/>
    <w:rPr>
      <w:rFonts w:ascii="Times New Roman" w:hAnsi="Times New Roman" w:cs="Times New Roman"/>
      <w:color w:val="00000A"/>
      <w:sz w:val="20"/>
      <w:szCs w:val="20"/>
    </w:rPr>
  </w:style>
  <w:style w:type="paragraph" w:styleId="Tablecaption1" w:customStyle="1">
    <w:name w:val="Table caption"/>
    <w:uiPriority w:val="99"/>
    <w:link w:val="Tablecaption"/>
    <w:basedOn w:val="Normal"/>
    <w:pPr/>
    <w:rPr>
      <w:rFonts w:ascii="Times New Roman" w:hAnsi="Times New Roman" w:cs="Times New Roman"/>
      <w:color w:val="00000A"/>
      <w:sz w:val="18"/>
      <w:szCs w:val="18"/>
    </w:rPr>
  </w:style>
  <w:style w:type="paragraph" w:styleId="Heading11" w:customStyle="1">
    <w:name w:val="Heading #1"/>
    <w:uiPriority w:val="99"/>
    <w:link w:val="Heading1"/>
    <w:basedOn w:val="Normal"/>
    <w:pPr>
      <w:spacing w:lineRule="auto" w:line="307" w:before="0" w:after="200"/>
      <w:ind w:left="440" w:right="0" w:hanging="440"/>
      <w:outlineLvl w:val="0"/>
    </w:pPr>
    <w:rPr>
      <w:rFonts w:ascii="Arial" w:hAnsi="Arial" w:cs="Arial"/>
      <w:b/>
      <w:bCs/>
      <w:color w:val="00000A"/>
      <w:sz w:val="18"/>
      <w:szCs w:val="18"/>
    </w:rPr>
  </w:style>
  <w:style w:type="paragraph" w:styleId="Hlavika">
    <w:name w:val="Hlavička"/>
    <w:uiPriority w:val="99"/>
    <w:unhideWhenUsed/>
    <w:link w:val="HlavikaChar"/>
    <w:rsid w:val="004a77fc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uiPriority w:val="99"/>
    <w:unhideWhenUsed/>
    <w:link w:val="PtaChar"/>
    <w:rsid w:val="004a77fc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2021-02-02T12:30:00Z</dcterms:created>
  <dc:creator>lstankovits</dc:creator>
  <dc:language>sk-SK</dc:language>
  <cp:lastModifiedBy>Maria</cp:lastModifiedBy>
  <cp:lastPrinted>2021-02-05T09:16:00Z</cp:lastPrinted>
  <dcterms:modified xsi:type="dcterms:W3CDTF">2021-03-03T12:32:00Z</dcterms:modified>
  <cp:revision>8</cp:revision>
</cp:coreProperties>
</file>