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59EC" w:rsidRPr="00ED59EC" w:rsidRDefault="00ED59EC" w:rsidP="00ED59EC">
      <w:pPr>
        <w:shd w:val="clear" w:color="auto" w:fill="FFFFFF"/>
        <w:spacing w:after="0" w:line="420" w:lineRule="atLeast"/>
        <w:outlineLvl w:val="0"/>
        <w:rPr>
          <w:rFonts w:ascii="Arial" w:eastAsia="Times New Roman" w:hAnsi="Arial" w:cs="Arial"/>
          <w:b/>
          <w:bCs/>
          <w:color w:val="070707"/>
          <w:kern w:val="36"/>
          <w:sz w:val="30"/>
          <w:szCs w:val="30"/>
          <w:lang w:eastAsia="sk-SK"/>
        </w:rPr>
      </w:pPr>
      <w:r w:rsidRPr="00ED59EC">
        <w:rPr>
          <w:rFonts w:ascii="Arial" w:eastAsia="Times New Roman" w:hAnsi="Arial" w:cs="Arial"/>
          <w:b/>
          <w:bCs/>
          <w:color w:val="070707"/>
          <w:kern w:val="36"/>
          <w:sz w:val="30"/>
          <w:szCs w:val="30"/>
          <w:lang w:eastAsia="sk-SK"/>
        </w:rPr>
        <w:t xml:space="preserve">Poznámky k </w:t>
      </w:r>
      <w:proofErr w:type="spellStart"/>
      <w:r w:rsidRPr="00ED59EC">
        <w:rPr>
          <w:rFonts w:ascii="Arial" w:eastAsia="Times New Roman" w:hAnsi="Arial" w:cs="Arial"/>
          <w:b/>
          <w:bCs/>
          <w:color w:val="070707"/>
          <w:kern w:val="36"/>
          <w:sz w:val="30"/>
          <w:szCs w:val="30"/>
          <w:lang w:eastAsia="sk-SK"/>
        </w:rPr>
        <w:t>mikro</w:t>
      </w:r>
      <w:proofErr w:type="spellEnd"/>
      <w:r w:rsidRPr="00ED59EC">
        <w:rPr>
          <w:rFonts w:ascii="Arial" w:eastAsia="Times New Roman" w:hAnsi="Arial" w:cs="Arial"/>
          <w:b/>
          <w:bCs/>
          <w:color w:val="070707"/>
          <w:kern w:val="36"/>
          <w:sz w:val="30"/>
          <w:szCs w:val="30"/>
          <w:lang w:eastAsia="sk-SK"/>
        </w:rPr>
        <w:t xml:space="preserve"> účtovnej závierke za rok 2023</w:t>
      </w:r>
    </w:p>
    <w:p w:rsidR="00ED59EC" w:rsidRPr="00ED59EC" w:rsidRDefault="00ED59EC" w:rsidP="00ED59EC">
      <w:pPr>
        <w:shd w:val="clear" w:color="auto" w:fill="FFFFFF"/>
        <w:spacing w:line="264" w:lineRule="atLeast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. </w:t>
      </w:r>
    </w:p>
    <w:p w:rsidR="00ED59EC" w:rsidRPr="00ED59EC" w:rsidRDefault="00ED59EC" w:rsidP="00ED59E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b/>
          <w:bCs/>
          <w:color w:val="000000"/>
          <w:sz w:val="21"/>
          <w:szCs w:val="21"/>
          <w:lang w:eastAsia="sk-SK"/>
        </w:rPr>
        <w:t xml:space="preserve">Dátum </w:t>
      </w:r>
      <w:r>
        <w:rPr>
          <w:rFonts w:ascii="Arial" w:eastAsia="Times New Roman" w:hAnsi="Arial" w:cs="Arial"/>
          <w:b/>
          <w:bCs/>
          <w:color w:val="000000"/>
          <w:sz w:val="21"/>
          <w:szCs w:val="21"/>
          <w:lang w:eastAsia="sk-SK"/>
        </w:rPr>
        <w:t xml:space="preserve">vyhotovenia: </w:t>
      </w:r>
      <w:r w:rsidR="0033780A">
        <w:rPr>
          <w:rFonts w:ascii="Arial" w:eastAsia="Times New Roman" w:hAnsi="Arial" w:cs="Arial"/>
          <w:b/>
          <w:bCs/>
          <w:color w:val="000000"/>
          <w:sz w:val="21"/>
          <w:szCs w:val="21"/>
          <w:lang w:eastAsia="sk-SK"/>
        </w:rPr>
        <w:t>19.</w:t>
      </w:r>
      <w:r>
        <w:rPr>
          <w:rFonts w:ascii="Arial" w:eastAsia="Times New Roman" w:hAnsi="Arial" w:cs="Arial"/>
          <w:b/>
          <w:bCs/>
          <w:color w:val="000000"/>
          <w:sz w:val="21"/>
          <w:szCs w:val="21"/>
          <w:lang w:eastAsia="sk-SK"/>
        </w:rPr>
        <w:t>3.2024</w:t>
      </w:r>
    </w:p>
    <w:p w:rsidR="00ED59EC" w:rsidRDefault="00ED59EC" w:rsidP="00ED59EC">
      <w:pPr>
        <w:shd w:val="clear" w:color="auto" w:fill="FFFFFF"/>
        <w:spacing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b/>
          <w:bCs/>
          <w:color w:val="000000"/>
          <w:sz w:val="21"/>
          <w:szCs w:val="21"/>
          <w:lang w:eastAsia="sk-SK"/>
        </w:rPr>
        <w:t>Právny stav od:</w:t>
      </w:r>
      <w:r w:rsidRPr="00ED59EC">
        <w:rPr>
          <w:rFonts w:ascii="Arial" w:eastAsia="Times New Roman" w:hAnsi="Arial" w:cs="Arial"/>
          <w:color w:val="000000"/>
          <w:lang w:eastAsia="sk-SK"/>
        </w:rPr>
        <w:t>1. 1. 2023</w:t>
      </w:r>
    </w:p>
    <w:p w:rsidR="00ED59EC" w:rsidRPr="00ED59EC" w:rsidRDefault="00ED59EC" w:rsidP="00ED59EC">
      <w:pPr>
        <w:shd w:val="clear" w:color="auto" w:fill="FFFFFF"/>
        <w:spacing w:line="240" w:lineRule="auto"/>
        <w:rPr>
          <w:rFonts w:ascii="Arial" w:eastAsia="Times New Roman" w:hAnsi="Arial" w:cs="Arial"/>
          <w:color w:val="000000"/>
          <w:lang w:eastAsia="sk-SK"/>
        </w:rPr>
      </w:pPr>
    </w:p>
    <w:tbl>
      <w:tblPr>
        <w:tblW w:w="2158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94"/>
        <w:gridCol w:w="2159"/>
        <w:gridCol w:w="4317"/>
        <w:gridCol w:w="4318"/>
      </w:tblGrid>
      <w:tr w:rsidR="00ED59EC" w:rsidRPr="00ED59EC" w:rsidTr="00ED59EC">
        <w:tc>
          <w:tcPr>
            <w:tcW w:w="10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D59EC" w:rsidRPr="00ED59EC" w:rsidRDefault="00ED59EC" w:rsidP="00ED59EC">
            <w:pPr>
              <w:spacing w:after="0" w:line="264" w:lineRule="atLeast"/>
              <w:rPr>
                <w:rFonts w:ascii="Arial" w:eastAsia="Times New Roman" w:hAnsi="Arial" w:cs="Arial"/>
                <w:lang w:eastAsia="sk-SK"/>
              </w:rPr>
            </w:pPr>
            <w:r w:rsidRPr="00ED59EC">
              <w:rPr>
                <w:rFonts w:ascii="Arial" w:eastAsia="Times New Roman" w:hAnsi="Arial" w:cs="Arial"/>
                <w:lang w:eastAsia="sk-SK"/>
              </w:rPr>
              <w:t xml:space="preserve">Poznámky </w:t>
            </w:r>
            <w:proofErr w:type="spellStart"/>
            <w:r w:rsidRPr="00ED59EC">
              <w:rPr>
                <w:rFonts w:ascii="Arial" w:eastAsia="Times New Roman" w:hAnsi="Arial" w:cs="Arial"/>
                <w:lang w:eastAsia="sk-SK"/>
              </w:rPr>
              <w:t>Úč</w:t>
            </w:r>
            <w:proofErr w:type="spellEnd"/>
            <w:r w:rsidRPr="00ED59EC">
              <w:rPr>
                <w:rFonts w:ascii="Arial" w:eastAsia="Times New Roman" w:hAnsi="Arial" w:cs="Arial"/>
                <w:lang w:eastAsia="sk-SK"/>
              </w:rPr>
              <w:t xml:space="preserve"> MÚJ 3 – 01</w:t>
            </w:r>
          </w:p>
        </w:tc>
        <w:tc>
          <w:tcPr>
            <w:tcW w:w="215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59EC" w:rsidRPr="00ED59EC" w:rsidRDefault="00ED59EC" w:rsidP="00ED59EC">
            <w:pPr>
              <w:spacing w:after="0" w:line="264" w:lineRule="atLeast"/>
              <w:rPr>
                <w:rFonts w:ascii="Arial" w:eastAsia="Times New Roman" w:hAnsi="Arial" w:cs="Arial"/>
                <w:lang w:eastAsia="sk-SK"/>
              </w:rPr>
            </w:pPr>
            <w:r w:rsidRPr="00ED59EC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4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D59EC" w:rsidRPr="00ED59EC" w:rsidRDefault="00ED59EC" w:rsidP="00ED59EC">
            <w:pPr>
              <w:spacing w:after="0" w:line="264" w:lineRule="atLeast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ED59EC">
              <w:rPr>
                <w:rFonts w:ascii="Arial" w:eastAsia="Times New Roman" w:hAnsi="Arial" w:cs="Arial"/>
                <w:lang w:eastAsia="sk-SK"/>
              </w:rPr>
              <w:t>IČO: 37444555</w:t>
            </w:r>
          </w:p>
        </w:tc>
        <w:tc>
          <w:tcPr>
            <w:tcW w:w="430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D59EC" w:rsidRPr="00ED59EC" w:rsidRDefault="00ED59EC" w:rsidP="00ED59EC">
            <w:pPr>
              <w:spacing w:after="0" w:line="264" w:lineRule="atLeast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ED59EC">
              <w:rPr>
                <w:rFonts w:ascii="Arial" w:eastAsia="Times New Roman" w:hAnsi="Arial" w:cs="Arial"/>
                <w:lang w:eastAsia="sk-SK"/>
              </w:rPr>
              <w:t>DIČ: 1121314151</w:t>
            </w:r>
          </w:p>
        </w:tc>
      </w:tr>
    </w:tbl>
    <w:p w:rsidR="00ED59EC" w:rsidRPr="00ED59EC" w:rsidRDefault="00ED59EC" w:rsidP="00ED59EC">
      <w:pPr>
        <w:shd w:val="clear" w:color="auto" w:fill="FFFFFF"/>
        <w:spacing w:after="0" w:line="264" w:lineRule="atLeast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 </w:t>
      </w:r>
    </w:p>
    <w:p w:rsidR="00ED59EC" w:rsidRPr="00ED59EC" w:rsidRDefault="00ED59EC" w:rsidP="00ED59EC">
      <w:pPr>
        <w:shd w:val="clear" w:color="auto" w:fill="FFFFFF"/>
        <w:spacing w:after="0" w:line="264" w:lineRule="atLeast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zostavené podľa opatrenia Ministerstva financií SR č. </w:t>
      </w:r>
      <w:hyperlink r:id="rId5" w:history="1">
        <w:r w:rsidRPr="00ED59EC">
          <w:rPr>
            <w:rFonts w:ascii="Arial" w:eastAsia="Times New Roman" w:hAnsi="Arial" w:cs="Arial"/>
            <w:color w:val="05507A"/>
            <w:lang w:eastAsia="sk-SK"/>
          </w:rPr>
          <w:t>MF/15464/2013-74</w:t>
        </w:r>
      </w:hyperlink>
      <w:r w:rsidRPr="00ED59EC">
        <w:rPr>
          <w:rFonts w:ascii="Arial" w:eastAsia="Times New Roman" w:hAnsi="Arial" w:cs="Arial"/>
          <w:color w:val="000000"/>
          <w:lang w:eastAsia="sk-SK"/>
        </w:rPr>
        <w:t xml:space="preserve">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ED59EC">
        <w:rPr>
          <w:rFonts w:ascii="Arial" w:eastAsia="Times New Roman" w:hAnsi="Arial" w:cs="Arial"/>
          <w:color w:val="000000"/>
          <w:lang w:eastAsia="sk-SK"/>
        </w:rPr>
        <w:t>mikro</w:t>
      </w:r>
      <w:proofErr w:type="spellEnd"/>
      <w:r w:rsidRPr="00ED59EC">
        <w:rPr>
          <w:rFonts w:ascii="Arial" w:eastAsia="Times New Roman" w:hAnsi="Arial" w:cs="Arial"/>
          <w:color w:val="000000"/>
          <w:lang w:eastAsia="sk-SK"/>
        </w:rPr>
        <w:t xml:space="preserve"> účtovné jednotky v znení neskorších predpisov</w:t>
      </w:r>
    </w:p>
    <w:p w:rsidR="00ED59EC" w:rsidRPr="00ED59EC" w:rsidRDefault="00ED59EC" w:rsidP="00ED59EC">
      <w:pPr>
        <w:shd w:val="clear" w:color="auto" w:fill="FFFFFF"/>
        <w:spacing w:after="0" w:line="300" w:lineRule="atLeast"/>
        <w:jc w:val="center"/>
        <w:outlineLvl w:val="3"/>
        <w:rPr>
          <w:rFonts w:ascii="Arial" w:eastAsia="Times New Roman" w:hAnsi="Arial" w:cs="Arial"/>
          <w:b/>
          <w:bCs/>
          <w:color w:val="070707"/>
          <w:sz w:val="21"/>
          <w:szCs w:val="21"/>
          <w:lang w:eastAsia="sk-SK"/>
        </w:rPr>
      </w:pPr>
      <w:r w:rsidRPr="00ED59EC">
        <w:rPr>
          <w:rFonts w:ascii="Arial" w:eastAsia="Times New Roman" w:hAnsi="Arial" w:cs="Arial"/>
          <w:b/>
          <w:bCs/>
          <w:color w:val="070707"/>
          <w:sz w:val="21"/>
          <w:szCs w:val="21"/>
          <w:lang w:eastAsia="sk-SK"/>
        </w:rPr>
        <w:t>Článok I</w:t>
      </w:r>
      <w:r w:rsidRPr="00ED59EC">
        <w:rPr>
          <w:rFonts w:ascii="Arial" w:eastAsia="Times New Roman" w:hAnsi="Arial" w:cs="Arial"/>
          <w:b/>
          <w:bCs/>
          <w:color w:val="070707"/>
          <w:sz w:val="21"/>
          <w:szCs w:val="21"/>
          <w:lang w:eastAsia="sk-SK"/>
        </w:rPr>
        <w:br/>
        <w:t>Všeobecné údaje</w:t>
      </w:r>
    </w:p>
    <w:p w:rsidR="00ED59EC" w:rsidRPr="00ED59EC" w:rsidRDefault="00ED59EC" w:rsidP="00ED59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Identifikácia účtovnej jednotky: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 xml:space="preserve">Názov: </w:t>
      </w:r>
      <w:proofErr w:type="spellStart"/>
      <w:r w:rsidR="0033780A">
        <w:rPr>
          <w:rFonts w:ascii="Arial" w:eastAsia="Times New Roman" w:hAnsi="Arial" w:cs="Arial"/>
          <w:color w:val="000000"/>
          <w:lang w:eastAsia="sk-SK"/>
        </w:rPr>
        <w:t>CoREMA</w:t>
      </w:r>
      <w:proofErr w:type="spellEnd"/>
      <w:r w:rsidR="0033780A">
        <w:rPr>
          <w:rFonts w:ascii="Arial" w:eastAsia="Times New Roman" w:hAnsi="Arial" w:cs="Arial"/>
          <w:color w:val="000000"/>
          <w:lang w:eastAsia="sk-SK"/>
        </w:rPr>
        <w:t xml:space="preserve"> s.r.i</w:t>
      </w:r>
      <w:r w:rsidRPr="00ED59EC">
        <w:rPr>
          <w:rFonts w:ascii="Arial" w:eastAsia="Times New Roman" w:hAnsi="Arial" w:cs="Arial"/>
          <w:color w:val="000000"/>
          <w:lang w:eastAsia="sk-SK"/>
        </w:rPr>
        <w:t>o.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 xml:space="preserve">Sídlo: </w:t>
      </w:r>
      <w:proofErr w:type="spellStart"/>
      <w:r w:rsidR="0033780A">
        <w:rPr>
          <w:rFonts w:ascii="Arial" w:eastAsia="Times New Roman" w:hAnsi="Arial" w:cs="Arial"/>
          <w:color w:val="000000"/>
          <w:lang w:eastAsia="sk-SK"/>
        </w:rPr>
        <w:t>Napájedlá</w:t>
      </w:r>
      <w:proofErr w:type="spellEnd"/>
      <w:r w:rsidR="0033780A">
        <w:rPr>
          <w:rFonts w:ascii="Arial" w:eastAsia="Times New Roman" w:hAnsi="Arial" w:cs="Arial"/>
          <w:color w:val="000000"/>
          <w:lang w:eastAsia="sk-SK"/>
        </w:rPr>
        <w:t xml:space="preserve"> 2/a, 040 12 Košice </w:t>
      </w:r>
    </w:p>
    <w:p w:rsidR="00ED59EC" w:rsidRPr="00ED59EC" w:rsidRDefault="00ED59EC" w:rsidP="00ED59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Údaje o konsolidovanom celku – spoločnosť nie je súčasťou žiadneho konsolidovaného celku.</w:t>
      </w:r>
    </w:p>
    <w:p w:rsidR="00ED59EC" w:rsidRPr="00ED59EC" w:rsidRDefault="00ED59EC" w:rsidP="00ED59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Priemerný prepočítaný počet zamestnancov:</w:t>
      </w:r>
    </w:p>
    <w:p w:rsidR="00ED59EC" w:rsidRPr="00ED59EC" w:rsidRDefault="00ED59EC" w:rsidP="00ED59EC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 xml:space="preserve">bezprostredne predchádzajúce účtovné obdobie: </w:t>
      </w:r>
      <w:r w:rsidR="0033780A">
        <w:rPr>
          <w:rFonts w:ascii="Arial" w:eastAsia="Times New Roman" w:hAnsi="Arial" w:cs="Arial"/>
          <w:color w:val="000000"/>
          <w:lang w:eastAsia="sk-SK"/>
        </w:rPr>
        <w:t>1</w:t>
      </w:r>
    </w:p>
    <w:p w:rsidR="00ED59EC" w:rsidRPr="00ED59EC" w:rsidRDefault="00ED59EC" w:rsidP="00ED59EC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 xml:space="preserve">bežné účtovné obdobie: </w:t>
      </w:r>
      <w:r w:rsidR="0033780A">
        <w:rPr>
          <w:rFonts w:ascii="Arial" w:eastAsia="Times New Roman" w:hAnsi="Arial" w:cs="Arial"/>
          <w:color w:val="000000"/>
          <w:lang w:eastAsia="sk-SK"/>
        </w:rPr>
        <w:t>1</w:t>
      </w:r>
    </w:p>
    <w:p w:rsidR="00ED59EC" w:rsidRPr="00ED59EC" w:rsidRDefault="00ED59EC" w:rsidP="00ED59EC">
      <w:pPr>
        <w:shd w:val="clear" w:color="auto" w:fill="FFFFFF"/>
        <w:spacing w:after="0" w:line="300" w:lineRule="atLeast"/>
        <w:jc w:val="center"/>
        <w:outlineLvl w:val="3"/>
        <w:rPr>
          <w:rFonts w:ascii="Arial" w:eastAsia="Times New Roman" w:hAnsi="Arial" w:cs="Arial"/>
          <w:b/>
          <w:bCs/>
          <w:color w:val="070707"/>
          <w:sz w:val="21"/>
          <w:szCs w:val="21"/>
          <w:lang w:eastAsia="sk-SK"/>
        </w:rPr>
      </w:pPr>
      <w:r w:rsidRPr="00ED59EC">
        <w:rPr>
          <w:rFonts w:ascii="Arial" w:eastAsia="Times New Roman" w:hAnsi="Arial" w:cs="Arial"/>
          <w:b/>
          <w:bCs/>
          <w:color w:val="070707"/>
          <w:sz w:val="21"/>
          <w:szCs w:val="21"/>
          <w:lang w:eastAsia="sk-SK"/>
        </w:rPr>
        <w:t>Článok II</w:t>
      </w:r>
      <w:r w:rsidRPr="00ED59EC">
        <w:rPr>
          <w:rFonts w:ascii="Arial" w:eastAsia="Times New Roman" w:hAnsi="Arial" w:cs="Arial"/>
          <w:b/>
          <w:bCs/>
          <w:color w:val="070707"/>
          <w:sz w:val="21"/>
          <w:szCs w:val="21"/>
          <w:lang w:eastAsia="sk-SK"/>
        </w:rPr>
        <w:br/>
        <w:t>Informácie o prijatých postupoch</w:t>
      </w:r>
    </w:p>
    <w:p w:rsidR="00ED59EC" w:rsidRPr="00ED59EC" w:rsidRDefault="00ED59EC" w:rsidP="00ED59E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Účtovná závierka je zostavená za splnenia predpokladu nepretržitého pokračovania účtovnej jednotky v činnosti.</w:t>
      </w:r>
    </w:p>
    <w:p w:rsidR="00ED59EC" w:rsidRPr="00ED59EC" w:rsidRDefault="00ED59EC" w:rsidP="00ED59E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Spôsob oceňovania jednotlivých položiek majetku a záväzkov:</w:t>
      </w:r>
    </w:p>
    <w:p w:rsidR="00ED59EC" w:rsidRPr="00ED59EC" w:rsidRDefault="00ED59EC" w:rsidP="00ED59EC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Dlhodobý nehmotný majetok, dlhodobý hmotný majetok, dlhodobý finančný majetok: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Dlhodobý nehmotný majetok sa oceňuje obstarávacou cenou a v účtovnej závierke je vykázaný v obstarávacej cene zníženej o oprávky.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Dlhodobý hmotný majetok sa oceňuje obstarávacou cenou, ktorá zahŕňa aj náklady na obstaranie a v účtovnej závierke je vykázaný v obstarávacej cene zníženej o oprávky.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Dlhodobý finančný majetok účtovná jednotka nevlastní.</w:t>
      </w:r>
    </w:p>
    <w:p w:rsidR="00ED59EC" w:rsidRPr="00ED59EC" w:rsidRDefault="00ED59EC" w:rsidP="00ED59EC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Zásoby obstarané kúpou, zásoby vytvorené vlastnou činnosťou: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Zásoby obstarané kúpou sa oceňujú obstarávacou cenou. Vyskladnenie zásob rovnakého druhu sa oceňuje cenou zistenou váženým aritmetickým priemerom z obstarávacích cien. V účtovnej závierke sú zásoby vykázané v obstarávacej cene zníženej o opravnú položku tvorenú ku dňu zostavenia účtovnej závierky vo výške rozdielu medzi účtovnou hodnotou ťažko predajného tovaru a predpokladanými príjmami z predaja tohto tovaru.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zásoby vlastnou činnosťou nevytvára.</w:t>
      </w:r>
    </w:p>
    <w:p w:rsidR="00ED59EC" w:rsidRPr="00ED59EC" w:rsidRDefault="00ED59EC" w:rsidP="00ED59EC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Pohľadávky: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 xml:space="preserve">Pohľadávky sa pri ich vzniku oceňujú menovitou hodnotou. V účtovnej závierke sú vykázané v hodnote zníženej o opravnú položku tvorenú ku dňu zostavenia účtovnej závierky z dôvodu existencie reálneho predpokladu, že ich dlžník nezaplatí, vo výške rozdielu účtovnej hodnoty pohľadávky </w:t>
      </w:r>
      <w:r w:rsidRPr="00ED59EC">
        <w:rPr>
          <w:rFonts w:ascii="Arial" w:eastAsia="Times New Roman" w:hAnsi="Arial" w:cs="Arial"/>
          <w:color w:val="000000"/>
          <w:lang w:eastAsia="sk-SK"/>
        </w:rPr>
        <w:lastRenderedPageBreak/>
        <w:t>a predpokladaného zaplatenia pohľadávky.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pohľadávky nadobudnuté postúpením nemá.</w:t>
      </w:r>
    </w:p>
    <w:p w:rsidR="00ED59EC" w:rsidRPr="00ED59EC" w:rsidRDefault="00ED59EC" w:rsidP="00ED59EC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Krátkodobý finančný majetok: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Peňažné prostriedky sa oceňujú menovitou hodnotou.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Iný krátkodobý finančný majetok účtovná jednotka nevlastní.</w:t>
      </w:r>
    </w:p>
    <w:p w:rsidR="00ED59EC" w:rsidRPr="00ED59EC" w:rsidRDefault="00ED59EC" w:rsidP="00ED59EC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Záväzky vrátane rezerv, dlhopisov, pôžičiek a úverov: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Záväzky sa pri ich vzniku oceňujú menovitou hodnotou. Prevzaté záväzky účtovná jednotka nemá.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tvorila ku dňu, ku ktorému sa zostavuje účtovná závierka, krátkodobé rezervy na nevyfakturované dodávky energií a na nevyčerpané dovolenky zamestnancov vrátane povinného poistného.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dlhopisy neemitovala.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má záväzok z bankového úveru ocenený menovitou hodnotou.</w:t>
      </w:r>
    </w:p>
    <w:p w:rsidR="00ED59EC" w:rsidRPr="00ED59EC" w:rsidRDefault="00ED59EC" w:rsidP="00ED59EC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Derivátové operácie: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derivátové operácie nevykonávala.</w:t>
      </w:r>
    </w:p>
    <w:p w:rsidR="00ED59EC" w:rsidRPr="00ED59EC" w:rsidRDefault="00ED59EC" w:rsidP="00ED59EC">
      <w:pPr>
        <w:numPr>
          <w:ilvl w:val="0"/>
          <w:numId w:val="2"/>
        </w:numPr>
        <w:shd w:val="clear" w:color="auto" w:fill="FFFFFF"/>
        <w:spacing w:before="100" w:beforeAutospacing="1" w:after="240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Spôsob zostavenia odpisového plánu pre jednotlivé druhy dlhodobého hmotného majetku a dlhodobého nehmotného majetku: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vlastní dlhodobý nehmotný majetok – softvér, ktorý je už odpísaný.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Odpisy dlhodobého hmotného majetku sú stanovené na základe predpokladanej doby používania majetku. Majetok sa odpisuje od mesiaca zaradenia dlhodobého majetku do používania. Ročný odpis je vo výške násobku mesačného odpisu a počtu mesiacov využívania majetku. Neodpisuje sa pozemok.</w:t>
      </w:r>
    </w:p>
    <w:tbl>
      <w:tblPr>
        <w:tblW w:w="722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9"/>
        <w:gridCol w:w="2126"/>
        <w:gridCol w:w="2126"/>
      </w:tblGrid>
      <w:tr w:rsidR="0033780A" w:rsidRPr="00ED59EC" w:rsidTr="0033780A">
        <w:tc>
          <w:tcPr>
            <w:tcW w:w="2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3780A" w:rsidRPr="00ED59EC" w:rsidRDefault="0033780A" w:rsidP="00ED59EC">
            <w:pPr>
              <w:spacing w:after="0" w:line="264" w:lineRule="atLeast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ED59EC">
              <w:rPr>
                <w:rFonts w:ascii="Arial" w:eastAsia="Times New Roman" w:hAnsi="Arial" w:cs="Arial"/>
                <w:b/>
                <w:bCs/>
                <w:lang w:eastAsia="sk-SK"/>
              </w:rPr>
              <w:t>Dohodový hmotný majetok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3780A" w:rsidRPr="00ED59EC" w:rsidRDefault="0033780A" w:rsidP="00ED59EC">
            <w:pPr>
              <w:spacing w:after="0" w:line="264" w:lineRule="atLeast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ED59EC">
              <w:rPr>
                <w:rFonts w:ascii="Arial" w:eastAsia="Times New Roman" w:hAnsi="Arial" w:cs="Arial"/>
                <w:b/>
                <w:bCs/>
                <w:lang w:eastAsia="sk-SK"/>
              </w:rPr>
              <w:t>Sadzba odpisov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780A" w:rsidRPr="00ED59EC" w:rsidRDefault="0033780A" w:rsidP="00ED59EC">
            <w:pPr>
              <w:spacing w:after="0" w:line="264" w:lineRule="atLeast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Odpis </w:t>
            </w:r>
          </w:p>
        </w:tc>
      </w:tr>
      <w:tr w:rsidR="0033780A" w:rsidRPr="00ED59EC" w:rsidTr="0033780A">
        <w:tc>
          <w:tcPr>
            <w:tcW w:w="2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3780A" w:rsidRPr="00ED59EC" w:rsidRDefault="0033780A" w:rsidP="00ED59EC">
            <w:pPr>
              <w:spacing w:after="0" w:line="264" w:lineRule="atLeast"/>
              <w:rPr>
                <w:rFonts w:ascii="Arial" w:eastAsia="Times New Roman" w:hAnsi="Arial" w:cs="Arial"/>
                <w:lang w:eastAsia="sk-SK"/>
              </w:rPr>
            </w:pPr>
            <w:r w:rsidRPr="00ED59EC">
              <w:rPr>
                <w:rFonts w:ascii="Arial" w:eastAsia="Times New Roman" w:hAnsi="Arial" w:cs="Arial"/>
                <w:lang w:eastAsia="sk-SK"/>
              </w:rPr>
              <w:t>Budova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3780A" w:rsidRPr="00ED59EC" w:rsidRDefault="0033780A" w:rsidP="00ED59EC">
            <w:pPr>
              <w:spacing w:after="0" w:line="264" w:lineRule="atLeast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100</w:t>
            </w:r>
            <w:r w:rsidRPr="00ED59EC">
              <w:rPr>
                <w:rFonts w:ascii="Arial" w:eastAsia="Times New Roman" w:hAnsi="Arial" w:cs="Arial"/>
                <w:lang w:eastAsia="sk-SK"/>
              </w:rPr>
              <w:t> %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780A" w:rsidRPr="00ED59EC" w:rsidRDefault="0033780A" w:rsidP="00ED59EC">
            <w:pPr>
              <w:spacing w:after="0" w:line="264" w:lineRule="atLeast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lineárny</w:t>
            </w:r>
          </w:p>
        </w:tc>
      </w:tr>
      <w:tr w:rsidR="0033780A" w:rsidRPr="00ED59EC" w:rsidTr="0033780A">
        <w:tc>
          <w:tcPr>
            <w:tcW w:w="2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3780A" w:rsidRPr="00ED59EC" w:rsidRDefault="0033780A" w:rsidP="00ED59EC">
            <w:pPr>
              <w:spacing w:after="0" w:line="264" w:lineRule="atLeas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 xml:space="preserve">Stroje 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3780A" w:rsidRPr="00ED59EC" w:rsidRDefault="0033780A" w:rsidP="00ED59EC">
            <w:pPr>
              <w:spacing w:after="0" w:line="264" w:lineRule="atLeast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100</w:t>
            </w:r>
            <w:r w:rsidRPr="00ED59EC">
              <w:rPr>
                <w:rFonts w:ascii="Arial" w:eastAsia="Times New Roman" w:hAnsi="Arial" w:cs="Arial"/>
                <w:lang w:eastAsia="sk-SK"/>
              </w:rPr>
              <w:t>%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780A" w:rsidRPr="00ED59EC" w:rsidRDefault="0033780A" w:rsidP="00ED59EC">
            <w:pPr>
              <w:spacing w:after="0" w:line="264" w:lineRule="atLeast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lineárny</w:t>
            </w:r>
          </w:p>
        </w:tc>
      </w:tr>
      <w:tr w:rsidR="0033780A" w:rsidRPr="00ED59EC" w:rsidTr="0033780A">
        <w:tc>
          <w:tcPr>
            <w:tcW w:w="2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3780A" w:rsidRPr="00ED59EC" w:rsidRDefault="0033780A" w:rsidP="00ED59EC">
            <w:pPr>
              <w:spacing w:after="0" w:line="264" w:lineRule="atLeas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 xml:space="preserve">Dopravné prostriedky 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3780A" w:rsidRPr="00ED59EC" w:rsidRDefault="0033780A" w:rsidP="00ED59EC">
            <w:pPr>
              <w:spacing w:after="0" w:line="264" w:lineRule="atLeast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100</w:t>
            </w:r>
            <w:r w:rsidRPr="00ED59EC">
              <w:rPr>
                <w:rFonts w:ascii="Arial" w:eastAsia="Times New Roman" w:hAnsi="Arial" w:cs="Arial"/>
                <w:lang w:eastAsia="sk-SK"/>
              </w:rPr>
              <w:t> %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780A" w:rsidRPr="00ED59EC" w:rsidRDefault="0033780A" w:rsidP="0033780A">
            <w:pPr>
              <w:spacing w:after="0" w:line="264" w:lineRule="atLeast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 xml:space="preserve">lineárny </w:t>
            </w:r>
          </w:p>
        </w:tc>
      </w:tr>
    </w:tbl>
    <w:p w:rsidR="00ED59EC" w:rsidRPr="00ED59EC" w:rsidRDefault="00ED59EC" w:rsidP="00ED59E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Zmeny účtovných zásad a zmeny účtovných metód: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neuskutočnila zmeny účtovných zásad a účtovných metód.</w:t>
      </w:r>
    </w:p>
    <w:p w:rsidR="00ED59EC" w:rsidRPr="00ED59EC" w:rsidRDefault="00ED59EC" w:rsidP="00ED59E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Informácie o dotáciách a ich oceňovanie v účtovníctve: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nie je príjemcom dotácií.</w:t>
      </w:r>
    </w:p>
    <w:p w:rsidR="00ED59EC" w:rsidRPr="00ED59EC" w:rsidRDefault="00ED59EC" w:rsidP="00ED59E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Informácie o účtovaní významných opráv chýb minulých účtovných období v bežnom účtovnom období a účtovanie nevýznamných chýb minulých účtovných období v bežnom účtovnom období: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neúčtovala o oprave chýb minulých účtovných období.</w:t>
      </w:r>
    </w:p>
    <w:p w:rsidR="00ED59EC" w:rsidRPr="00ED59EC" w:rsidRDefault="00ED59EC" w:rsidP="00ED59EC">
      <w:pPr>
        <w:shd w:val="clear" w:color="auto" w:fill="FFFFFF"/>
        <w:spacing w:after="0" w:line="300" w:lineRule="atLeast"/>
        <w:jc w:val="center"/>
        <w:outlineLvl w:val="3"/>
        <w:rPr>
          <w:rFonts w:ascii="Arial" w:eastAsia="Times New Roman" w:hAnsi="Arial" w:cs="Arial"/>
          <w:b/>
          <w:bCs/>
          <w:color w:val="070707"/>
          <w:sz w:val="21"/>
          <w:szCs w:val="21"/>
          <w:lang w:eastAsia="sk-SK"/>
        </w:rPr>
      </w:pPr>
      <w:r w:rsidRPr="00ED59EC">
        <w:rPr>
          <w:rFonts w:ascii="Arial" w:eastAsia="Times New Roman" w:hAnsi="Arial" w:cs="Arial"/>
          <w:b/>
          <w:bCs/>
          <w:color w:val="070707"/>
          <w:sz w:val="21"/>
          <w:szCs w:val="21"/>
          <w:lang w:eastAsia="sk-SK"/>
        </w:rPr>
        <w:t>Článok III</w:t>
      </w:r>
      <w:r w:rsidRPr="00ED59EC">
        <w:rPr>
          <w:rFonts w:ascii="Arial" w:eastAsia="Times New Roman" w:hAnsi="Arial" w:cs="Arial"/>
          <w:b/>
          <w:bCs/>
          <w:color w:val="070707"/>
          <w:sz w:val="21"/>
          <w:szCs w:val="21"/>
          <w:lang w:eastAsia="sk-SK"/>
        </w:rPr>
        <w:br/>
        <w:t>Informácie, ktoré vysvetľujú a dopĺňajú súvahu a výkaz ziskov a strát</w:t>
      </w:r>
    </w:p>
    <w:p w:rsidR="00ED59EC" w:rsidRPr="00ED59EC" w:rsidRDefault="00ED59EC" w:rsidP="00ED59E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Informácia o sume a dôvodoch vzniku jednotlivých položiek nákladov alebo výnosov, ktoré majú výnimočný rozsah alebo výskyt: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Účtovnej jednotke nevznikli náklady a výnosy s výnimočným rozsahom alebo výskytom.</w:t>
      </w:r>
    </w:p>
    <w:p w:rsidR="00ED59EC" w:rsidRPr="00ED59EC" w:rsidRDefault="00ED59EC" w:rsidP="00ED59E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Informácie o záväzkoch:</w:t>
      </w:r>
    </w:p>
    <w:p w:rsidR="0033780A" w:rsidRDefault="00ED59EC" w:rsidP="00D533CB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33780A">
        <w:rPr>
          <w:rFonts w:ascii="Arial" w:eastAsia="Times New Roman" w:hAnsi="Arial" w:cs="Arial"/>
          <w:color w:val="000000"/>
          <w:lang w:eastAsia="sk-SK"/>
        </w:rPr>
        <w:t xml:space="preserve">záväzky so zostatkovou dobou splatnosti dlhšou ako päť rokov: účtovná jednotka </w:t>
      </w:r>
      <w:r w:rsidR="0033780A">
        <w:rPr>
          <w:rFonts w:ascii="Arial" w:eastAsia="Times New Roman" w:hAnsi="Arial" w:cs="Arial"/>
          <w:color w:val="000000"/>
          <w:lang w:eastAsia="sk-SK"/>
        </w:rPr>
        <w:t xml:space="preserve">eviduje voči spoločníkom vo výške </w:t>
      </w:r>
      <w:r w:rsidR="00BE3BBB">
        <w:rPr>
          <w:rFonts w:ascii="Arial" w:eastAsia="Times New Roman" w:hAnsi="Arial" w:cs="Arial"/>
          <w:color w:val="000000"/>
          <w:lang w:eastAsia="sk-SK"/>
        </w:rPr>
        <w:t>113 100 €</w:t>
      </w:r>
      <w:bookmarkStart w:id="0" w:name="_GoBack"/>
      <w:bookmarkEnd w:id="0"/>
    </w:p>
    <w:p w:rsidR="00ED59EC" w:rsidRPr="0033780A" w:rsidRDefault="00ED59EC" w:rsidP="00D533CB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33780A">
        <w:rPr>
          <w:rFonts w:ascii="Arial" w:eastAsia="Times New Roman" w:hAnsi="Arial" w:cs="Arial"/>
          <w:color w:val="000000"/>
          <w:lang w:eastAsia="sk-SK"/>
        </w:rPr>
        <w:t>zabezpečené záväzky: účtovná jednotka nemá.</w:t>
      </w:r>
    </w:p>
    <w:p w:rsidR="00ED59EC" w:rsidRPr="00ED59EC" w:rsidRDefault="00ED59EC" w:rsidP="00ED59E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Informácie o vlastných akciách: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nemá formu akciovej spoločnosti, vlastné akcie nenadobudla.</w:t>
      </w:r>
    </w:p>
    <w:p w:rsidR="00ED59EC" w:rsidRPr="00ED59EC" w:rsidRDefault="00ED59EC" w:rsidP="00ED59E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lastRenderedPageBreak/>
        <w:t>Tvorba kapitálového fondu z príspevkov: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kapitálový fond z príspevkov netvorila.</w:t>
      </w:r>
    </w:p>
    <w:p w:rsidR="00ED59EC" w:rsidRPr="00ED59EC" w:rsidRDefault="00ED59EC" w:rsidP="00ED59E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Informácie o orgánoch účtovnej jednotky:</w:t>
      </w:r>
    </w:p>
    <w:p w:rsidR="00ED59EC" w:rsidRPr="00ED59EC" w:rsidRDefault="00ED59EC" w:rsidP="00ED59EC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výška jednotlivých druhov záruk alebo iných zabezpečení poskytnutých pre členov štatutárneho orgánu, dozorného orgánu a iného orgánu účtovnej jednotky: účtovná jednotka záruky a iné zabezpečenie neeviduje,</w:t>
      </w:r>
    </w:p>
    <w:p w:rsidR="00ED59EC" w:rsidRPr="00ED59EC" w:rsidRDefault="00ED59EC" w:rsidP="00ED59EC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pôžičky poskytnuté členom štatutárneho orgánu, dozorného orgánu a iného orgánu účtovnej jednotky: účtovná jednotka pôžičky neeviduje,</w:t>
      </w:r>
    </w:p>
    <w:p w:rsidR="00ED59EC" w:rsidRPr="00ED59EC" w:rsidRDefault="00ED59EC" w:rsidP="00ED59EC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hlavné podmienky, na základe ktorých boli záruky, iné zabezpečenia a pôžičky poskytnuté: neboli poskytnuté,</w:t>
      </w:r>
    </w:p>
    <w:p w:rsidR="00ED59EC" w:rsidRPr="00ED59EC" w:rsidRDefault="00ED59EC" w:rsidP="00ED59EC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celková suma použitých finančných prostriedkov alebo iného plnenia na súkromné účely členmi štatutárneho orgánu, dozorného orgánu a iného orgánu účtovnej jednotky, ktoré je potrebné vyúčtovať: účtovná jednotka na takýto účel finančné prostriedky nepoužila.</w:t>
      </w:r>
    </w:p>
    <w:p w:rsidR="00ED59EC" w:rsidRPr="00ED59EC" w:rsidRDefault="00ED59EC" w:rsidP="00ED59E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Informácie o povinnostiach účtovnej jednotky:</w:t>
      </w:r>
    </w:p>
    <w:p w:rsidR="00ED59EC" w:rsidRPr="00ED59EC" w:rsidRDefault="00ED59EC" w:rsidP="00ED59EC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celková suma finančných povinností, ktoré sa nevykazujú v súvahe, ale sú významné na posúdenie finančnej situácie účtovnej jednotky: účtovná jednotka takúto povinnosť nemá,</w:t>
      </w:r>
    </w:p>
    <w:p w:rsidR="00ED59EC" w:rsidRPr="00ED59EC" w:rsidRDefault="00ED59EC" w:rsidP="00ED59EC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celková suma významných podmienených záväzkov: účtovná jednotka takúto povinnosť nemá,</w:t>
      </w:r>
    </w:p>
    <w:p w:rsidR="00ED59EC" w:rsidRPr="00ED59EC" w:rsidRDefault="00ED59EC" w:rsidP="00ED59EC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opis významných finančných povinností a významných podmienených záväzkov: účtovná jednotka finančné povinnosti a podmienené záväzky nemá,</w:t>
      </w:r>
    </w:p>
    <w:p w:rsidR="00ED59EC" w:rsidRPr="00ED59EC" w:rsidRDefault="00ED59EC" w:rsidP="00ED59EC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celková suma významných finančných povinností a významných podmienených záväzkoch voči dcérskej účtovnej jednotke a účtovnej jednotke s podstatným vplyvom: účtovná jednotka takého záväzky nemá,</w:t>
      </w:r>
    </w:p>
    <w:p w:rsidR="00ED59EC" w:rsidRPr="00ED59EC" w:rsidRDefault="00ED59EC" w:rsidP="00ED59EC">
      <w:pPr>
        <w:numPr>
          <w:ilvl w:val="1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opis významných povinností účtovnej jednotky vyplývajúcich z dôchodkových programov pre zamestnancov: účtovná jednotka takého povinnosti nemá.</w:t>
      </w:r>
    </w:p>
    <w:p w:rsidR="00ED59EC" w:rsidRPr="00ED59EC" w:rsidRDefault="00ED59EC" w:rsidP="00ED59E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sk-SK"/>
        </w:rPr>
      </w:pPr>
      <w:r w:rsidRPr="00ED59EC">
        <w:rPr>
          <w:rFonts w:ascii="Arial" w:eastAsia="Times New Roman" w:hAnsi="Arial" w:cs="Arial"/>
          <w:color w:val="000000"/>
          <w:lang w:eastAsia="sk-SK"/>
        </w:rPr>
        <w:t>Informácie o udelení výlučného práva alebo osobitného práva, ktorým sa udelilo právo poskytovať služby vo verejnom záujme:</w:t>
      </w:r>
      <w:r w:rsidRPr="00ED59EC">
        <w:rPr>
          <w:rFonts w:ascii="Arial" w:eastAsia="Times New Roman" w:hAnsi="Arial" w:cs="Arial"/>
          <w:color w:val="000000"/>
          <w:lang w:eastAsia="sk-SK"/>
        </w:rPr>
        <w:br/>
        <w:t>Účtovná jednotka takého práva udelené nemá.</w:t>
      </w:r>
    </w:p>
    <w:p w:rsidR="00A0042E" w:rsidRDefault="00A0042E"/>
    <w:sectPr w:rsidR="00A004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5F7D33"/>
    <w:multiLevelType w:val="multilevel"/>
    <w:tmpl w:val="DEEE0E7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55B181F"/>
    <w:multiLevelType w:val="multilevel"/>
    <w:tmpl w:val="2368D3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3482D61"/>
    <w:multiLevelType w:val="multilevel"/>
    <w:tmpl w:val="529219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B104C27"/>
    <w:multiLevelType w:val="multilevel"/>
    <w:tmpl w:val="8AA67E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9EC"/>
    <w:rsid w:val="0033780A"/>
    <w:rsid w:val="00A0042E"/>
    <w:rsid w:val="00BE3BBB"/>
    <w:rsid w:val="00ED5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30BEC7"/>
  <w15:chartTrackingRefBased/>
  <w15:docId w15:val="{DA314525-6453-4689-9998-30B8987C1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ED59E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ED59EC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D59EC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ED59EC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ED59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label">
    <w:name w:val="label"/>
    <w:basedOn w:val="Predvolenpsmoodseku"/>
    <w:rsid w:val="00ED59EC"/>
  </w:style>
  <w:style w:type="character" w:styleId="Hypertextovprepojenie">
    <w:name w:val="Hyperlink"/>
    <w:basedOn w:val="Predvolenpsmoodseku"/>
    <w:uiPriority w:val="99"/>
    <w:semiHidden/>
    <w:unhideWhenUsed/>
    <w:rsid w:val="00ED59EC"/>
    <w:rPr>
      <w:color w:val="0000FF"/>
      <w:u w:val="single"/>
    </w:rPr>
  </w:style>
  <w:style w:type="character" w:styleId="Siln">
    <w:name w:val="Strong"/>
    <w:basedOn w:val="Predvolenpsmoodseku"/>
    <w:uiPriority w:val="22"/>
    <w:qFormat/>
    <w:rsid w:val="00ED59E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563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307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722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459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EEEEEE"/>
                    <w:right w:val="none" w:sz="0" w:space="0" w:color="auto"/>
                  </w:divBdr>
                  <w:divsChild>
                    <w:div w:id="845678146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2678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460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134563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single" w:sz="6" w:space="8" w:color="EEEEEE"/>
                    <w:right w:val="none" w:sz="0" w:space="0" w:color="auto"/>
                  </w:divBdr>
                  <w:divsChild>
                    <w:div w:id="2083134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89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9489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1889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danovecentrum.sk/form/goto.ashx?t=27&amp;p=4040954&amp;f=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983</Words>
  <Characters>5604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kodusova.jana</dc:creator>
  <cp:keywords/>
  <dc:description/>
  <cp:lastModifiedBy>kodusova.jana</cp:lastModifiedBy>
  <cp:revision>2</cp:revision>
  <dcterms:created xsi:type="dcterms:W3CDTF">2024-03-20T08:50:00Z</dcterms:created>
  <dcterms:modified xsi:type="dcterms:W3CDTF">2024-03-20T08:50:00Z</dcterms:modified>
</cp:coreProperties>
</file>