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426" w:leader="none"/>
        </w:tabs>
        <w:jc w:val="center"/>
        <w:rPr>
          <w:b/>
          <w:b/>
          <w:sz w:val="36"/>
        </w:rPr>
      </w:pPr>
      <w:bookmarkStart w:id="0" w:name="_GoBack"/>
      <w:bookmarkEnd w:id="0"/>
      <w:r>
        <w:rPr>
          <w:b/>
          <w:sz w:val="36"/>
        </w:rPr>
        <w:t>Poznámky k 31.12.2023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Dubno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Dubno  č. 40, 980 35 Gemerský Jablonec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00649546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č.369/1990 Zb. o obecnom zriadení.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" w:name="__Fieldmark__23_2532725485"/>
            <w:bookmarkStart w:id="2" w:name="__Fieldmark__23_2532725485"/>
            <w:bookmarkStart w:id="3" w:name="__Fieldmark__23_2532725485"/>
            <w:bookmarkEnd w:id="3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" w:name="__Fieldmark__27_2532725485"/>
            <w:bookmarkStart w:id="5" w:name="__Fieldmark__27_2532725485"/>
            <w:bookmarkStart w:id="6" w:name="__Fieldmark__27_2532725485"/>
            <w:bookmarkEnd w:id="6"/>
            <w:r>
              <w:rPr/>
            </w:r>
            <w:r>
              <w:fldChar w:fldCharType="end"/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" w:name="__Fieldmark__31_2532725485"/>
            <w:bookmarkStart w:id="8" w:name="__Fieldmark__31_2532725485"/>
            <w:bookmarkStart w:id="9" w:name="__Fieldmark__31_2532725485"/>
            <w:bookmarkEnd w:id="9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0" w:name="__Fieldmark__35_2532725485"/>
            <w:bookmarkStart w:id="11" w:name="__Fieldmark__35_2532725485"/>
            <w:bookmarkStart w:id="12" w:name="__Fieldmark__35_2532725485"/>
            <w:bookmarkEnd w:id="12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3" w:name="__Fieldmark__40_2532725485"/>
            <w:bookmarkStart w:id="14" w:name="__Fieldmark__40_2532725485"/>
            <w:bookmarkStart w:id="15" w:name="__Fieldmark__40_2532725485"/>
            <w:bookmarkEnd w:id="15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6" w:name="__Fieldmark__44_2532725485"/>
            <w:bookmarkStart w:id="17" w:name="__Fieldmark__44_2532725485"/>
            <w:bookmarkStart w:id="18" w:name="__Fieldmark__44_2532725485"/>
            <w:bookmarkEnd w:id="18"/>
            <w:r>
              <w:rPr/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left" w:pos="284" w:leader="none"/>
        </w:tabs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Alexandra Farkasová – starostka obce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Szilágyiová – zástupca starostky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numPr>
                <w:ilvl w:val="0"/>
                <w:numId w:val="2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rPr>
          <w:b/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organizáciách zriadených a založených účtovnou jednotkou: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Obec nemá v zriaďovateľskej a zakladateľskej pôsobnosti rozpočtovú organizáciu.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9" w:name="__Fieldmark__141_2532725485"/>
      <w:bookmarkStart w:id="20" w:name="__Fieldmark__141_2532725485"/>
      <w:bookmarkStart w:id="21" w:name="__Fieldmark__141_2532725485"/>
      <w:bookmarkEnd w:id="21"/>
      <w:r>
        <w:rPr>
          <w:b/>
          <w:sz w:val="24"/>
          <w:szCs w:val="24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" w:name="__Fieldmark__144_2532725485"/>
      <w:bookmarkStart w:id="23" w:name="__Fieldmark__144_2532725485"/>
      <w:bookmarkStart w:id="24" w:name="__Fieldmark__144_2532725485"/>
      <w:bookmarkEnd w:id="24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hanging="0"/>
        <w:jc w:val="both"/>
        <w:rPr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5" w:name="__Fieldmark__150_2532725485"/>
      <w:bookmarkStart w:id="26" w:name="__Fieldmark__150_2532725485"/>
      <w:bookmarkStart w:id="27" w:name="__Fieldmark__150_2532725485"/>
      <w:bookmarkEnd w:id="27"/>
      <w:r>
        <w:rPr>
          <w:sz w:val="24"/>
          <w:szCs w:val="24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8" w:name="__Fieldmark__153_2532725485"/>
      <w:bookmarkStart w:id="29" w:name="__Fieldmark__153_2532725485"/>
      <w:bookmarkStart w:id="30" w:name="__Fieldmark__153_2532725485"/>
      <w:bookmarkEnd w:id="30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ind w:left="357" w:hanging="0"/>
        <w:jc w:val="both"/>
        <w:rPr>
          <w:rFonts w:cs="Tahoma"/>
          <w:b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353"/>
        <w:gridCol w:w="2465"/>
        <w:gridCol w:w="2464"/>
        <w:gridCol w:w="2977"/>
      </w:tblGrid>
      <w:tr>
        <w:trPr/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Peňažné vyjadrenie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 majetku a záväzkov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26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78"/>
        <w:gridCol w:w="3881"/>
      </w:tblGrid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>
            <w:pPr>
              <w:pStyle w:val="Normal"/>
              <w:ind w:left="284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Telotextu"/>
              <w:ind w:left="1" w:hanging="0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ind w:left="1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Telotextu"/>
              <w:ind w:left="34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sz w:val="24"/>
          <w:szCs w:val="24"/>
        </w:rPr>
        <w:t xml:space="preserve">Informácie odporúčam čerpať z vnútorného predpisu účtovnej jednotky. </w:t>
      </w:r>
    </w:p>
    <w:p>
      <w:pPr>
        <w:pStyle w:val="Normal"/>
        <w:ind w:left="284" w:hanging="0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žesa vychádza z predpokladanej doby jeho užívania a predpokladaného priebehu jeho opotrebenia. Odpisovať sa začína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961"/>
        <w:gridCol w:w="3071"/>
        <w:gridCol w:w="4174"/>
      </w:tblGrid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Predpokladaná doba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¼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1/6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1/8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1/12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1/20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4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1/40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>Drobný nehmotný majetok od 100,00 Eur do 2400,00 Eur, ktorý podľa vnútorného predpisu účtovnej jednotky nie je dlhodobým nehmotným majetkom sa účtuje pri obstaraní do nákladov na účet 518 - Ostatné služby.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  <w:t xml:space="preserve">Drobný hmotný majetok od 100,00Eur do 1700,00 Eur, ktorý podľa vnútorného predpisuúčtovnej jednotky nie je dlhodobým hmotným majetkom sa účtuje ako zásoby na účte 501-spotreba materiálu.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3"/>
        </w:numPr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2"/>
        </w:numPr>
        <w:rPr/>
      </w:pPr>
      <w:r>
        <w:rPr>
          <w:sz w:val="24"/>
          <w:szCs w:val="24"/>
        </w:rPr>
        <w:t>odpisovanému dlhodobému majetku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1" w:name="__Fieldmark__410_2532725485"/>
      <w:bookmarkStart w:id="32" w:name="__Fieldmark__410_2532725485"/>
      <w:bookmarkStart w:id="33" w:name="__Fieldmark__410_2532725485"/>
      <w:bookmarkEnd w:id="33"/>
      <w:r>
        <w:rPr>
          <w:sz w:val="24"/>
          <w:szCs w:val="24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4" w:name="__Fieldmark__413_2532725485"/>
      <w:bookmarkStart w:id="35" w:name="__Fieldmark__413_2532725485"/>
      <w:bookmarkStart w:id="36" w:name="__Fieldmark__413_2532725485"/>
      <w:bookmarkEnd w:id="36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7" w:name="__Fieldmark__426_2532725485"/>
      <w:bookmarkStart w:id="38" w:name="__Fieldmark__426_2532725485"/>
      <w:bookmarkStart w:id="39" w:name="__Fieldmark__426_2532725485"/>
      <w:bookmarkEnd w:id="39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0" w:name="__Fieldmark__429_2532725485"/>
      <w:bookmarkStart w:id="41" w:name="__Fieldmark__429_2532725485"/>
      <w:bookmarkStart w:id="42" w:name="__Fieldmark__429_2532725485"/>
      <w:bookmarkEnd w:id="42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3" w:name="__Fieldmark__438_2532725485"/>
      <w:bookmarkStart w:id="44" w:name="__Fieldmark__438_2532725485"/>
      <w:bookmarkStart w:id="45" w:name="__Fieldmark__438_2532725485"/>
      <w:bookmarkEnd w:id="45"/>
      <w:r>
        <w:rPr>
          <w:rFonts w:cs="Tahoma"/>
          <w:b/>
          <w:bCs/>
          <w:sz w:val="24"/>
          <w:szCs w:val="24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6" w:name="__Fieldmark__441_2532725485"/>
      <w:bookmarkStart w:id="47" w:name="__Fieldmark__441_2532725485"/>
      <w:bookmarkStart w:id="48" w:name="__Fieldmark__441_2532725485"/>
      <w:bookmarkEnd w:id="48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"/>
          <w:bCs/>
          <w:sz w:val="24"/>
          <w:szCs w:val="24"/>
        </w:rPr>
        <w:t>dlhodobému finančnému majetku</w:t>
        <w:tab/>
      </w:r>
      <w:r>
        <w:rPr>
          <w:rFonts w:cs="Tahoma"/>
          <w:b/>
          <w:bCs/>
          <w:sz w:val="24"/>
          <w:szCs w:val="24"/>
        </w:rPr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9" w:name="__Fieldmark__450_2532725485"/>
      <w:bookmarkStart w:id="50" w:name="__Fieldmark__450_2532725485"/>
      <w:bookmarkStart w:id="51" w:name="__Fieldmark__450_2532725485"/>
      <w:bookmarkEnd w:id="51"/>
      <w:r>
        <w:rPr>
          <w:rFonts w:cs="Tahoma"/>
          <w:b/>
          <w:bCs/>
          <w:sz w:val="24"/>
          <w:szCs w:val="24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2" w:name="__Fieldmark__453_2532725485"/>
      <w:bookmarkStart w:id="53" w:name="__Fieldmark__453_2532725485"/>
      <w:bookmarkStart w:id="54" w:name="__Fieldmark__453_2532725485"/>
      <w:bookmarkEnd w:id="54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"/>
          <w:bCs/>
          <w:sz w:val="24"/>
          <w:szCs w:val="24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5" w:name="__Fieldmark__461_2532725485"/>
      <w:bookmarkStart w:id="56" w:name="__Fieldmark__461_2532725485"/>
      <w:bookmarkStart w:id="57" w:name="__Fieldmark__461_2532725485"/>
      <w:bookmarkEnd w:id="57"/>
      <w:r>
        <w:rPr>
          <w:rFonts w:cs="Tahoma"/>
          <w:b/>
          <w:bCs/>
          <w:sz w:val="24"/>
          <w:szCs w:val="24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8" w:name="__Fieldmark__464_2532725485"/>
      <w:bookmarkStart w:id="59" w:name="__Fieldmark__464_2532725485"/>
      <w:bookmarkStart w:id="60" w:name="__Fieldmark__464_2532725485"/>
      <w:bookmarkEnd w:id="60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Normal"/>
        <w:numPr>
          <w:ilvl w:val="0"/>
          <w:numId w:val="22"/>
        </w:numPr>
        <w:rPr/>
      </w:pPr>
      <w:r>
        <w:rPr>
          <w:rFonts w:cs="Tahoma"/>
          <w:bCs/>
          <w:sz w:val="24"/>
          <w:szCs w:val="24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</w:rPr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1" w:name="__Fieldmark__472_2532725485"/>
      <w:bookmarkStart w:id="62" w:name="__Fieldmark__472_2532725485"/>
      <w:bookmarkStart w:id="63" w:name="__Fieldmark__472_2532725485"/>
      <w:bookmarkEnd w:id="63"/>
      <w:r>
        <w:rPr>
          <w:rFonts w:cs="Tahoma"/>
          <w:b/>
          <w:bCs/>
          <w:sz w:val="24"/>
          <w:szCs w:val="24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4" w:name="__Fieldmark__475_2532725485"/>
      <w:bookmarkStart w:id="65" w:name="__Fieldmark__475_2532725485"/>
      <w:bookmarkStart w:id="66" w:name="__Fieldmark__475_2532725485"/>
      <w:bookmarkEnd w:id="66"/>
      <w:r>
        <w:rPr>
          <w:rFonts w:cs="Tahoma"/>
          <w:b/>
          <w:bCs/>
          <w:sz w:val="22"/>
          <w:szCs w:val="22"/>
        </w:rPr>
      </w:r>
      <w: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Informácie odporúčam čerpať z vnútorného predpisu účtovnej jednotky. </w:t>
      </w:r>
    </w:p>
    <w:p>
      <w:pPr>
        <w:pStyle w:val="Normal"/>
        <w:jc w:val="both"/>
        <w:rPr>
          <w:rFonts w:cs="Tahoma"/>
          <w:bCs/>
          <w:color w:val="FF0000"/>
          <w:sz w:val="22"/>
          <w:szCs w:val="22"/>
        </w:rPr>
      </w:pPr>
      <w:r>
        <w:rPr>
          <w:rFonts w:cs="Tahoma"/>
          <w:bCs/>
          <w:color w:val="FF0000"/>
          <w:sz w:val="22"/>
          <w:szCs w:val="22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340"/>
        <w:gridCol w:w="7839"/>
      </w:tblGrid>
      <w:tr>
        <w:trPr/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7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50  % menovitej hodnoty pohľadávky bez príslušenstva </w:t>
            </w:r>
          </w:p>
        </w:tc>
      </w:tr>
      <w:tr>
        <w:trPr/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7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50    % menovitej hodnoty pohľadávky bez príslušenstva</w:t>
            </w:r>
          </w:p>
        </w:tc>
      </w:tr>
      <w:tr>
        <w:trPr/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78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100   % menovitej hodnoty pohľadávky bez príslušenstva</w:t>
            </w:r>
          </w:p>
        </w:tc>
      </w:tr>
    </w:tbl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Telotextu"/>
        <w:ind w:lef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Z.z. o dani z príjmov v z.n.p.. </w:t>
      </w:r>
    </w:p>
    <w:p>
      <w:pPr>
        <w:pStyle w:val="Telotextu"/>
        <w:ind w:left="0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>- sa  zúčtuje do výnosov  vo vecnej a časovej súvislosti s nákladmi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</w:t>
      </w:r>
    </w:p>
    <w:p>
      <w:pPr>
        <w:pStyle w:val="Normal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3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predané.Ku dňu, ku ktorému sa zostavuje účtovná závierka, sa už neprepočítavajú. </w:t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lotextu"/>
        <w:ind w:lef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ind w:left="425" w:hanging="425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5"/>
        </w:numPr>
        <w:tabs>
          <w:tab w:val="left" w:pos="284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  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color w:val="FF0000"/>
          <w:sz w:val="24"/>
          <w:szCs w:val="24"/>
        </w:rPr>
        <w:t>-</w:t>
      </w:r>
      <w:r>
        <w:rPr>
          <w:b w:val="false"/>
          <w:sz w:val="24"/>
          <w:szCs w:val="24"/>
        </w:rPr>
        <w:t xml:space="preserve">Uvedú sa informácie, ktoré </w:t>
      </w:r>
      <w:r>
        <w:rPr>
          <w:b w:val="false"/>
          <w:sz w:val="24"/>
          <w:szCs w:val="24"/>
          <w:u w:val="single"/>
        </w:rPr>
        <w:t>významným</w:t>
      </w:r>
      <w:r>
        <w:rPr>
          <w:b w:val="false"/>
          <w:sz w:val="24"/>
          <w:szCs w:val="24"/>
        </w:rPr>
        <w:t xml:space="preserve"> spôsobom ovplyvňujú pohľad na účtovnú závierku. 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  <w:r>
        <w:rPr>
          <w:b w:val="false"/>
          <w:sz w:val="24"/>
          <w:szCs w:val="24"/>
        </w:rPr>
        <w:t>V tabuľke č.1 je vykázaný úbytok na účte 011 v sume 5 669,22 EUR.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918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87"/>
        <w:gridCol w:w="3190"/>
        <w:gridCol w:w="2803"/>
      </w:tblGrid>
      <w:tr>
        <w:trPr/>
        <w:tc>
          <w:tcPr>
            <w:tcW w:w="3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Spôsob poistenia,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Dlhodobý hmotný majetok</w:t>
            </w:r>
          </w:p>
        </w:tc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Komunálna poisťovňa</w:t>
            </w:r>
          </w:p>
        </w:tc>
        <w:tc>
          <w:tcPr>
            <w:tcW w:w="2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  <w:t>158,06</w:t>
            </w:r>
          </w:p>
        </w:tc>
      </w:tr>
      <w:tr>
        <w:trPr/>
        <w:tc>
          <w:tcPr>
            <w:tcW w:w="3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3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42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Majetok,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ku ktorému</w:t>
            </w:r>
            <w:r>
              <w:rPr>
                <w:b/>
              </w:rPr>
              <w:t>má</w:t>
            </w:r>
            <w:r>
              <w:rPr/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Pozemky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3 286,20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Budovy, stavby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  <w:t>10 538,98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Stroje, prístroje, zariadenia, inventár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 Obežný majetok </w:t>
      </w:r>
    </w:p>
    <w:p>
      <w:pPr>
        <w:pStyle w:val="Normal"/>
        <w:ind w:left="2520" w:hanging="252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Pismenka"/>
        <w:numPr>
          <w:ilvl w:val="0"/>
          <w:numId w:val="7"/>
        </w:numPr>
        <w:ind w:left="284" w:hanging="284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false"/>
          <w:sz w:val="24"/>
          <w:szCs w:val="24"/>
        </w:rPr>
        <w:t xml:space="preserve"> k zásobám- tabuľka č.2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zásobám </w:t>
      </w:r>
    </w:p>
    <w:tbl>
      <w:tblPr>
        <w:tblW w:w="10206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86"/>
        <w:gridCol w:w="2084"/>
        <w:gridCol w:w="4936"/>
      </w:tblGrid>
      <w:tr>
        <w:trPr/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>
        <w:trPr/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4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</w:t>
      </w:r>
    </w:p>
    <w:p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  <w:t xml:space="preserve">.  </w:t>
      </w:r>
    </w:p>
    <w:tbl>
      <w:tblPr>
        <w:tblW w:w="10161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758"/>
        <w:gridCol w:w="870"/>
        <w:gridCol w:w="1596"/>
        <w:gridCol w:w="1598"/>
        <w:gridCol w:w="3339"/>
      </w:tblGrid>
      <w:tr>
        <w:trPr>
          <w:trHeight w:val="418" w:hRule="atLeast"/>
        </w:trPr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>
          <w:trHeight w:val="261" w:hRule="atLeast"/>
        </w:trPr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Daňové príjmy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69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828,82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828,82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  <w:t>Miestne dane</w:t>
            </w:r>
          </w:p>
        </w:tc>
      </w:tr>
      <w:tr>
        <w:trPr>
          <w:trHeight w:val="261" w:hRule="atLeast"/>
        </w:trPr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Nedaňové príjmy</w:t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68</w:t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123,95</w:t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123,95</w:t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Pohľadávky z nedaňových </w:t>
            </w:r>
          </w:p>
        </w:tc>
      </w:tr>
      <w:tr>
        <w:trPr>
          <w:trHeight w:val="261" w:hRule="atLeast"/>
        </w:trPr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261" w:hRule="atLeast"/>
        </w:trPr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261" w:hRule="atLeast"/>
        </w:trPr>
        <w:tc>
          <w:tcPr>
            <w:tcW w:w="2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 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tbl>
      <w:tblPr>
        <w:tblW w:w="1031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68"/>
        <w:gridCol w:w="1133"/>
        <w:gridCol w:w="851"/>
        <w:gridCol w:w="850"/>
        <w:gridCol w:w="851"/>
        <w:gridCol w:w="1133"/>
        <w:gridCol w:w="3227"/>
      </w:tblGrid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31.12.2023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>(riadky 048 a 060 súvahy) - tabuľka č.4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4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394"/>
        <w:gridCol w:w="1417"/>
        <w:gridCol w:w="1418"/>
        <w:gridCol w:w="2834"/>
      </w:tblGrid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pohľadávky z predaja majetku .......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ind w:left="678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tabs>
                <w:tab w:val="center" w:pos="639" w:leader="none"/>
                <w:tab w:val="right" w:pos="1278" w:leader="none"/>
              </w:tabs>
              <w:rPr/>
            </w:pPr>
            <w:r>
              <w:rPr/>
              <w:tab/>
              <w:tab/>
              <w:t>166,16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tabs>
                <w:tab w:val="center" w:pos="639" w:leader="none"/>
                <w:tab w:val="right" w:pos="1278" w:leader="none"/>
              </w:tabs>
              <w:jc w:val="right"/>
              <w:rPr/>
            </w:pPr>
            <w:r>
              <w:rPr/>
              <w:t>828,82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  po lehote splatnosti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pohľadávky za KO a DSO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235,00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123,95</w:t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  po lehote splatnosti</w:t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 xml:space="preserve">pohľadávky za nájom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 xml:space="preserve">pohľadávky za poplatok za rozvoj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65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952,77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401,16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356" w:hanging="284"/>
              <w:rPr/>
            </w:pPr>
            <w:r>
              <w:rPr/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pohľadávky na daní z nehnuteľností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828,82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166,16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pohľadávky za KO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123,95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235,00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356" w:hanging="284"/>
              <w:rPr/>
            </w:pPr>
            <w:r>
              <w:rPr/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pohľadávky na daní nehnuteľností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pohľadávky za KO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8"/>
              </w:numPr>
              <w:ind w:left="356" w:hanging="284"/>
              <w:rPr/>
            </w:pPr>
            <w:r>
              <w:rPr/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false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102"/>
        <w:gridCol w:w="2835"/>
        <w:gridCol w:w="2323"/>
      </w:tblGrid>
      <w:tr>
        <w:trPr/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9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pohľadávky, na ktoré sa zriadilo</w:t>
      </w:r>
      <w:r>
        <w:rPr>
          <w:sz w:val="24"/>
          <w:szCs w:val="24"/>
        </w:rPr>
        <w:t>záložné právo</w:t>
      </w:r>
      <w:r>
        <w:rPr>
          <w:b w:val="false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220"/>
        <w:gridCol w:w="4985"/>
      </w:tblGrid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Hodnota pohľadávok, na ktoré sa zriadilo záložné právo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Hodnota pohľadávok pri ktorých je obmedzené </w:t>
            </w:r>
          </w:p>
          <w:p>
            <w:pPr>
              <w:pStyle w:val="Normal"/>
              <w:rPr/>
            </w:pPr>
            <w:r>
              <w:rPr/>
              <w:t xml:space="preserve">právo s nimi nakladať </w:t>
            </w:r>
          </w:p>
        </w:tc>
        <w:tc>
          <w:tcPr>
            <w:tcW w:w="4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</w:p>
    <w:tbl>
      <w:tblPr>
        <w:tblW w:w="10348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961"/>
        <w:gridCol w:w="2693"/>
        <w:gridCol w:w="2694"/>
      </w:tblGrid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Pokladnica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222,81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111,19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Ceniny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Bankové účty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3 308,91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2 635,50</w:t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false"/>
          <w:sz w:val="24"/>
          <w:szCs w:val="24"/>
        </w:rPr>
        <w:t>krátkodobý finančný majetok, na ktorýje zriadené</w:t>
      </w:r>
      <w:r>
        <w:rPr>
          <w:sz w:val="24"/>
          <w:szCs w:val="24"/>
        </w:rPr>
        <w:t>záložné právo</w:t>
      </w:r>
      <w:r>
        <w:rPr>
          <w:b w:val="false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6"/>
        <w:gridCol w:w="4109"/>
      </w:tblGrid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Krátkodobý finančný majetok, na ktorý bolo zriadené záložné právo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Krátkodobý finančný majetok, pri ktorom je obmedzené právo s nám nakladať 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360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(riadky 098 a104 súvahy):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1"/>
        <w:gridCol w:w="2124"/>
      </w:tblGrid>
      <w:tr>
        <w:trPr/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Výnos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Dátum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31.12.2022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669"/>
        <w:gridCol w:w="2410"/>
        <w:gridCol w:w="2127"/>
      </w:tblGrid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Poistné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Predplatné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1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126"/>
        <w:gridCol w:w="1134"/>
        <w:gridCol w:w="1133"/>
        <w:gridCol w:w="1134"/>
        <w:gridCol w:w="567"/>
        <w:gridCol w:w="1134"/>
        <w:gridCol w:w="3085"/>
      </w:tblGrid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31.12.2022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428 - Nevysporiadaný výsledok hospodárenia minulých rokov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42 244,05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6 346,41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35 897,64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Výsledok hospodárenia </w:t>
            </w:r>
          </w:p>
          <w:p>
            <w:pPr>
              <w:pStyle w:val="Normal"/>
              <w:rPr/>
            </w:pPr>
            <w:r>
              <w:rPr/>
              <w:t>(431)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-6 346,41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11 257,51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-17 603,92</w:t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Presuny  € : preúčtovanie HV za rok ... </w:t>
            </w:r>
          </w:p>
          <w:p>
            <w:pPr>
              <w:pStyle w:val="Normal"/>
              <w:rPr/>
            </w:pPr>
            <w:r>
              <w:rPr/>
              <w:t>HV za rok .......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B Záväzky</w:t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29"/>
        <w:gridCol w:w="2976"/>
      </w:tblGrid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Názov položky / Suma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2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č.8  -  účtovná  jednotka neeviduje žiadne záväzky po lehote splatnosti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29"/>
        <w:gridCol w:w="1560"/>
        <w:gridCol w:w="1417"/>
      </w:tblGrid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zo sociálneho fondu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402,18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214,11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ind w:left="678" w:hanging="0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voči dodávateľom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48,20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48,20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voči zamestnancom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2 192,63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2096,52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záväzky voči poisťovniam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983,38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1206,32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voči daňovému úradu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132,82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208,65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záväzky voči štátnemu rozpočtu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záväzky z finančnej zábezpeky na verejné obstarávanie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ostatné záväzky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278,65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278,65</w:t>
            </w:r>
          </w:p>
        </w:tc>
      </w:tr>
      <w:tr>
        <w:trPr/>
        <w:tc>
          <w:tcPr>
            <w:tcW w:w="7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ind w:left="318" w:hanging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48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9"/>
              </w:numPr>
              <w:ind w:left="356" w:hanging="284"/>
              <w:rPr/>
            </w:pPr>
            <w:r>
              <w:rPr/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402,18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214,11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9"/>
              </w:numPr>
              <w:ind w:left="356" w:hanging="284"/>
              <w:rPr/>
            </w:pPr>
            <w:r>
              <w:rPr/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9"/>
              </w:numPr>
              <w:ind w:left="356" w:hanging="284"/>
              <w:rPr/>
            </w:pPr>
            <w:r>
              <w:rPr/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9"/>
        <w:gridCol w:w="1701"/>
        <w:gridCol w:w="1983"/>
        <w:gridCol w:w="3261"/>
      </w:tblGrid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31.12.2023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záväzku k 31.12.2022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13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č.9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 roku 2023 neprijala návratnú finančnú výpomoc.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348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500"/>
        <w:gridCol w:w="5847"/>
      </w:tblGrid>
      <w:tr>
        <w:trPr/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Druh bankového úveru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5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5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5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Pismenka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false"/>
          <w:sz w:val="24"/>
          <w:szCs w:val="24"/>
        </w:rPr>
        <w:t>(riadky 150 a 176 súvahy)</w:t>
      </w:r>
    </w:p>
    <w:tbl>
      <w:tblPr>
        <w:tblW w:w="10420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239"/>
        <w:gridCol w:w="1863"/>
        <w:gridCol w:w="1017"/>
        <w:gridCol w:w="1400"/>
        <w:gridCol w:w="1480"/>
        <w:gridCol w:w="1420"/>
      </w:tblGrid>
      <w:tr>
        <w:trPr/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Mena, v ktorej sú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Úroková sadzba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31.12.2022</w:t>
            </w:r>
          </w:p>
        </w:tc>
      </w:tr>
      <w:tr>
        <w:trPr/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ind w:left="28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19"/>
        <w:gridCol w:w="2126"/>
        <w:gridCol w:w="1134"/>
        <w:gridCol w:w="1133"/>
        <w:gridCol w:w="1418"/>
        <w:gridCol w:w="1489"/>
      </w:tblGrid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Poskytovateľ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prijatej návratnej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Účel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k 31.12.2022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1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false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8"/>
        <w:gridCol w:w="2409"/>
        <w:gridCol w:w="2411"/>
      </w:tblGrid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31.12.2023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Zostatok  k 31.12.2022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Výdavky budúcich obdobíspolu z toho: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  <w:t>Rekonštrukciaverejného osvetlenia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39 700,78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168 652,51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Pismenka"/>
        <w:ind w:left="284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4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false"/>
          <w:sz w:val="24"/>
          <w:szCs w:val="24"/>
        </w:rPr>
        <w:t xml:space="preserve"> zaúčtovaných na účte 384 </w:t>
      </w:r>
    </w:p>
    <w:tbl>
      <w:tblPr>
        <w:tblW w:w="10347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>
        <w:trPr/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 k 31.12.2023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Stav k 31.12.2022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7"/>
              </w:numPr>
              <w:ind w:left="214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....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Pismenka"/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výnosoch a nákladoch</w:t>
      </w:r>
    </w:p>
    <w:p>
      <w:pPr>
        <w:pStyle w:val="Pismenka"/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31.12.2022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300,00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1322,88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602 - Tržby z predaja služieb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školné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strava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kopírovacie služby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vyhlasovanie rozhlasom 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vrece na odpad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                                            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 xml:space="preserve">                           </w:t>
            </w:r>
            <w:r>
              <w:rPr/>
              <w:t>300,00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0,00</w:t>
            </w:r>
          </w:p>
          <w:p>
            <w:pPr>
              <w:pStyle w:val="Normal"/>
              <w:jc w:val="right"/>
              <w:rPr/>
            </w:pPr>
            <w:r>
              <w:rPr/>
              <w:t>0,00</w:t>
            </w:r>
          </w:p>
          <w:p>
            <w:pPr>
              <w:pStyle w:val="Normal"/>
              <w:jc w:val="right"/>
              <w:rPr/>
            </w:pPr>
            <w:r>
              <w:rPr/>
              <w:t>200,00</w:t>
            </w:r>
          </w:p>
          <w:p>
            <w:pPr>
              <w:pStyle w:val="Normal"/>
              <w:jc w:val="right"/>
              <w:rPr/>
            </w:pPr>
            <w:r>
              <w:rPr/>
              <w:t>200,00</w:t>
            </w:r>
          </w:p>
          <w:p>
            <w:pPr>
              <w:pStyle w:val="Normal"/>
              <w:jc w:val="right"/>
              <w:rPr/>
            </w:pPr>
            <w:r>
              <w:rPr/>
              <w:t>922,88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604 - Tržby za tovar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622 - Aktivácia vnútroorganizačných služieb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624 - Aktivácia DHM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52 074,15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47 020,59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podielové dane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daň z nehnuteľností 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daň za psa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43 746,00</w:t>
            </w:r>
          </w:p>
          <w:p>
            <w:pPr>
              <w:pStyle w:val="Normal"/>
              <w:jc w:val="right"/>
              <w:rPr/>
            </w:pPr>
            <w:r>
              <w:rPr/>
              <w:t>3 482,51</w:t>
            </w:r>
          </w:p>
          <w:p>
            <w:pPr>
              <w:pStyle w:val="Normal"/>
              <w:jc w:val="right"/>
              <w:rPr/>
            </w:pPr>
            <w:r>
              <w:rPr/>
              <w:t>135,00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  <w:t>42 163,43</w:t>
            </w:r>
          </w:p>
          <w:p>
            <w:pPr>
              <w:pStyle w:val="Normal"/>
              <w:jc w:val="right"/>
              <w:rPr/>
            </w:pPr>
            <w:r>
              <w:rPr/>
              <w:t>2864,74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správne poplatky 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KO a DSO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2 032,00</w:t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4524,50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predaj akcií 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662 - Úroky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668 - Ostatné finančné výnosy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672 - Náhrady škôd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bežný transfer na školský klub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bežný transfer na školskú jedáleň 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numPr>
                <w:ilvl w:val="0"/>
                <w:numId w:val="22"/>
              </w:numPr>
              <w:rPr/>
            </w:pPr>
            <w:r>
              <w:rPr/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bežný transfer na 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131 953,58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2713,04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128 951,73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697 - Výnosy samosprávy z bežných transferov od ostatných subjektov mimo verejnej správy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699 - Výnosy samosprávy  z odvodu rozpočtových príjmov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zinkasované príjmy RO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642 - Tržby z predaja materiálu z toho: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646 - Výnosy z odpísaných pohľadávok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648 - Ostatné výnosy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3"/>
              </w:numPr>
              <w:ind w:left="185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653 - Zúčtovanie ostatných rezerv z prevádzkovej činnosti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658 - Zúčtovanie ostatných opravných položiek z prevádzkovej činnosti</w:t>
            </w:r>
          </w:p>
          <w:p>
            <w:pPr>
              <w:pStyle w:val="Normal"/>
              <w:rPr/>
            </w:pPr>
            <w:r>
              <w:rPr/>
              <w:t>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výška výnosov k 31.12.2023 bola vykázaná vo výške 190 887,36 €, čo predstavuje nárast úbytok o 139 415,70 € oproti roku 2022, keď bola celková výška výnosov vykázaná vo výške 51 471,66 €.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>
      <w:pPr>
        <w:pStyle w:val="Normal"/>
        <w:numPr>
          <w:ilvl w:val="0"/>
          <w:numId w:val="22"/>
        </w:numPr>
        <w:tabs>
          <w:tab w:val="left" w:pos="567" w:leader="none"/>
        </w:tabs>
        <w:ind w:left="567" w:hanging="2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podielové dane vo výške  43 746,00 € - ich výška bola ovplyvnená v dôsledku vojny, </w:t>
      </w:r>
    </w:p>
    <w:p>
      <w:pPr>
        <w:pStyle w:val="Normal"/>
        <w:numPr>
          <w:ilvl w:val="0"/>
          <w:numId w:val="22"/>
        </w:numPr>
        <w:tabs>
          <w:tab w:val="left" w:pos="567" w:leader="none"/>
        </w:tabs>
        <w:ind w:left="567" w:hanging="249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daň z nehnuteľnosti vo výške 2 032,00 €</w:t>
      </w:r>
    </w:p>
    <w:p>
      <w:pPr>
        <w:pStyle w:val="Normal"/>
        <w:numPr>
          <w:ilvl w:val="0"/>
          <w:numId w:val="22"/>
        </w:numPr>
        <w:tabs>
          <w:tab w:val="left" w:pos="567" w:leader="none"/>
        </w:tabs>
        <w:ind w:left="567" w:hanging="249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poplatok za komunálny odpad vo výške 2 545,00 €</w:t>
      </w:r>
    </w:p>
    <w:p>
      <w:pPr>
        <w:pStyle w:val="Normal"/>
        <w:numPr>
          <w:ilvl w:val="0"/>
          <w:numId w:val="22"/>
        </w:numPr>
        <w:tabs>
          <w:tab w:val="left" w:pos="567" w:leader="none"/>
        </w:tabs>
        <w:ind w:left="567" w:hanging="249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výnosy z bežných transferov zo ŠR, subjektov verejnej správy vo výške 3 001,85 € /693/</w:t>
      </w:r>
    </w:p>
    <w:p>
      <w:pPr>
        <w:pStyle w:val="Normal"/>
        <w:numPr>
          <w:ilvl w:val="0"/>
          <w:numId w:val="22"/>
        </w:numPr>
        <w:tabs>
          <w:tab w:val="left" w:pos="567" w:leader="none"/>
        </w:tabs>
        <w:ind w:left="567" w:hanging="249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výnosy z kapitálových transferov zo ŠR, subjektov verejnej správy o výške128 951,73 € (účet 694)</w:t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5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2900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5"/>
        <w:gridCol w:w="2268"/>
        <w:gridCol w:w="2267"/>
        <w:gridCol w:w="2269"/>
      </w:tblGrid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Suma k 31.12.2022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7 790,56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7 775,29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501 - Spotreba materiálu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5 067,43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4888,80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502 - Spotreba energie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elektrická energia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2 723,13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2886,49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507 - Predaná nehnuteľnosť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14 820,75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12580,77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511 - Opravy a udržiavanie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oprava xxx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512 – Cestovné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1 621,76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1269,74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513 - Náklady na reprezentáciu 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518 - Ostatné služby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12 458,84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11000,04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31 408,18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28590,74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23 335,53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21650,75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7 709,91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6756,65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362,74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183,34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538 - Ostatné dane a poplatky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551 - Odpisy  DNM a DHM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odpisy z vlastných zdrojov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154 114,56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8438,82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553 - Tvorba ostatných rezerv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558 - Tvorba ostatných opravných položiek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k daňovým pohľadávkam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304,18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156,45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561 - Predané CP a podiely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562 - Úroky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568 - Ostatné finančné náklady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304,18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156,45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572 - Škody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584 - Náklady na transfery z rozpočtu obce, VÚC do RO, PO zriadených obcou alebo VÚC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bežný transfer xxx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586 - Náklady na transfery z rozpočtu obce, VÚC subjektov mimo verejnej správy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bežný transfer xxx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587 - Náklady na ostatné transfery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>
                <w:b/>
                <w:b/>
              </w:rPr>
            </w:pPr>
            <w:r>
              <w:rPr/>
              <w:t>bežný transfer xxx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541 - ZC predaného DNM a DHM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542 - Predaný materiál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544 - Zmluvné pokuty, penále a úroky z omeškania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545 - Ostatné pokuty, penále a úroky z omeškania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546 - Odpis pohľadávky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548 - Ostatné náklady na prevádzkovú činnosť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549 - Manká a škody z toho:</w:t>
            </w:r>
          </w:p>
          <w:p>
            <w:pPr>
              <w:pStyle w:val="Normal"/>
              <w:numPr>
                <w:ilvl w:val="0"/>
                <w:numId w:val="27"/>
              </w:numPr>
              <w:ind w:left="318" w:hanging="142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4"/>
              </w:numPr>
              <w:ind w:left="185" w:hanging="185"/>
              <w:rPr>
                <w:b/>
                <w:b/>
              </w:rPr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rPr/>
            </w:pPr>
            <w:r>
              <w:rPr/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výška nákladov k 31.12.2023 bola vykázaná vo výške 208 491,28 €, čo predstavuje nárast nákladov oproti roku 2022, keď bola celková výška nákladov vykázaná vo výške 57 818,07 €. </w:t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náklady: </w:t>
      </w:r>
    </w:p>
    <w:p>
      <w:pPr>
        <w:pStyle w:val="ListParagraph"/>
        <w:numPr>
          <w:ilvl w:val="0"/>
          <w:numId w:val="2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 odpisov dlhodobého hmotného majetku obce vo výške 154 114,56 €.</w:t>
      </w:r>
    </w:p>
    <w:p>
      <w:pPr>
        <w:pStyle w:val="Normal"/>
        <w:ind w:left="284" w:hanging="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5"/>
        </w:numPr>
        <w:tabs>
          <w:tab w:val="left" w:pos="567" w:leader="none"/>
        </w:tabs>
        <w:ind w:left="284" w:hanging="284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096"/>
        <w:gridCol w:w="4109"/>
      </w:tblGrid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Suma k 31.12.2023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Náklady voči audítorovi alebo audítorskej spoločnosti v členení na náklady za: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5"/>
              </w:numPr>
              <w:ind w:left="356" w:hanging="284"/>
              <w:rPr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5"/>
              </w:numPr>
              <w:ind w:left="356" w:hanging="284"/>
              <w:rPr/>
            </w:pPr>
            <w:r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5"/>
              </w:numPr>
              <w:ind w:left="356" w:hanging="284"/>
              <w:rPr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numPr>
                <w:ilvl w:val="0"/>
                <w:numId w:val="25"/>
              </w:numPr>
              <w:ind w:left="356" w:hanging="284"/>
              <w:rPr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ind w:left="0" w:hanging="0"/>
        <w:rPr>
          <w:b w:val="false"/>
          <w:b w:val="false"/>
          <w:bCs/>
          <w:color w:val="FF0000"/>
          <w:sz w:val="24"/>
          <w:szCs w:val="24"/>
        </w:rPr>
      </w:pPr>
      <w:r>
        <w:rPr>
          <w:b w:val="false"/>
          <w:bCs/>
          <w:color w:val="FF0000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39"/>
        <w:gridCol w:w="3061"/>
        <w:gridCol w:w="2880"/>
      </w:tblGrid>
      <w:tr>
        <w:trPr/>
        <w:tc>
          <w:tcPr>
            <w:tcW w:w="4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Forma zabezpečenia</w:t>
            </w:r>
          </w:p>
        </w:tc>
      </w:tr>
      <w:tr>
        <w:trPr/>
        <w:tc>
          <w:tcPr>
            <w:tcW w:w="4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110"/>
        <w:gridCol w:w="3119"/>
        <w:gridCol w:w="2836"/>
      </w:tblGrid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>
      <w:pPr>
        <w:pStyle w:val="Pismenka"/>
        <w:ind w:left="36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Pismenka"/>
        <w:numPr>
          <w:ilvl w:val="0"/>
          <w:numId w:val="1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false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Obec nevedie  súdny spor.</w:t>
      </w:r>
    </w:p>
    <w:p>
      <w:pPr>
        <w:pStyle w:val="Pismenka"/>
        <w:ind w:left="0" w:hanging="0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>
      <w:pPr>
        <w:pStyle w:val="Normal"/>
        <w:rPr/>
      </w:pPr>
      <w:r>
        <w:rPr/>
      </w:r>
    </w:p>
    <w:tbl>
      <w:tblPr>
        <w:tblW w:w="10065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84"/>
        <w:gridCol w:w="993"/>
        <w:gridCol w:w="1984"/>
        <w:gridCol w:w="1701"/>
        <w:gridCol w:w="3403"/>
      </w:tblGrid>
      <w:tr>
        <w:trPr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  <w:p>
            <w:pPr>
              <w:pStyle w:val="Normal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31.12.2023</w:t>
            </w:r>
          </w:p>
        </w:tc>
      </w:tr>
      <w:tr>
        <w:trPr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false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>
      <w:pPr>
        <w:pStyle w:val="Pismenka"/>
        <w:numPr>
          <w:ilvl w:val="0"/>
          <w:numId w:val="19"/>
        </w:numPr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false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>
      <w:pPr>
        <w:pStyle w:val="Pismenka"/>
        <w:numPr>
          <w:ilvl w:val="0"/>
          <w:numId w:val="19"/>
        </w:numPr>
        <w:rPr>
          <w:b w:val="false"/>
          <w:b w:val="false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false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>
      <w:pPr>
        <w:pStyle w:val="Pismenka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sz w:val="24"/>
          <w:szCs w:val="24"/>
        </w:rPr>
        <w:t>- tabuľka č.10.</w:t>
      </w:r>
    </w:p>
    <w:p>
      <w:pPr>
        <w:pStyle w:val="Pismenka"/>
        <w:ind w:left="0" w:hanging="0"/>
        <w:rPr>
          <w:b w:val="false"/>
          <w:b w:val="false"/>
          <w:color w:val="FF0000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č.10 </w:t>
      </w:r>
    </w:p>
    <w:p>
      <w:pPr>
        <w:pStyle w:val="Pismenka"/>
        <w:numPr>
          <w:ilvl w:val="0"/>
          <w:numId w:val="1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false"/>
          <w:sz w:val="24"/>
          <w:szCs w:val="24"/>
        </w:rPr>
        <w:t xml:space="preserve"> v správe alebo vo vlastníctve účtovnej jednotky - tabuľka č.11</w:t>
      </w:r>
    </w:p>
    <w:p>
      <w:pPr>
        <w:pStyle w:val="Pismenka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č.11 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false"/>
          <w:sz w:val="24"/>
          <w:szCs w:val="24"/>
        </w:rPr>
        <w:t xml:space="preserve"> voči účtovnej jednotke súhrnného celku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065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09"/>
        <w:gridCol w:w="4536"/>
        <w:gridCol w:w="3120"/>
      </w:tblGrid>
      <w:tr>
        <w:trPr/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Vykázané voči ÚJ súhrnného celku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celkom</w:t>
            </w:r>
          </w:p>
        </w:tc>
      </w:tr>
      <w:tr>
        <w:trPr/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Iné aktíva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  <w:t>Iné pasíva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17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č.10 .......................................................................................................................................................</w:t>
      </w:r>
    </w:p>
    <w:p>
      <w:pPr>
        <w:pStyle w:val="Pismenka"/>
        <w:ind w:left="425" w:hanging="425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0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>
      <w:pPr>
        <w:pStyle w:val="Normal"/>
        <w:numPr>
          <w:ilvl w:val="0"/>
          <w:numId w:val="26"/>
        </w:numPr>
        <w:ind w:left="284" w:hanging="284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  rozpočtovými organizáciami a  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126"/>
        <w:gridCol w:w="1701"/>
        <w:gridCol w:w="1983"/>
        <w:gridCol w:w="2269"/>
        <w:gridCol w:w="1985"/>
      </w:tblGrid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obchodu/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/>
            </w:pPr>
            <w:r>
              <w:rPr/>
              <w:t>Hodnotové vyjadrenie obchodu/transakcie</w:t>
            </w:r>
          </w:p>
          <w:p>
            <w:pPr>
              <w:pStyle w:val="Normal"/>
              <w:jc w:val="center"/>
              <w:rPr/>
            </w:pPr>
            <w:r>
              <w:rPr/>
              <w:t>alebo percentuálne vyjadrenie obchodu/transakcie  k celkovému objemu obchodov/transakcií  realizovaných ÚJ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/>
            </w:pPr>
            <w:r>
              <w:rPr/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/>
            </w:pPr>
            <w:r>
              <w:rPr/>
              <w:t xml:space="preserve">Informácia o cenách/hodnotách realizovaných obchodov/transakcií  medzi účtovnou jednotkou a spriaznenými osobami 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Transféry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trike/>
              </w:rPr>
            </w:pPr>
            <w:r>
              <w:rPr>
                <w:strike/>
              </w:rPr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ind w:left="284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26"/>
        </w:numPr>
        <w:ind w:left="284" w:hanging="284"/>
        <w:rPr>
          <w:b/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jc w:val="left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683"/>
        <w:gridCol w:w="2945"/>
        <w:gridCol w:w="3436"/>
      </w:tblGrid>
      <w:tr>
        <w:trPr/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F2F2F2" w:val="clear"/>
            <w:tcMar>
              <w:left w:w="70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>
        <w:trPr/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>
      <w:pPr>
        <w:pStyle w:val="Pismenka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3.12.2022  uznesením č.23/2022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21.09.2023 uznesením č.17/2023</w:t>
      </w:r>
    </w:p>
    <w:p>
      <w:pPr>
        <w:pStyle w:val="Normal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7.12.2023 uznesením č. 23/2023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obce podľa§ 17 ods. 7 -8 zákona č.583/2004 Z.z. o rozpočtových pravidlách územnej samosprávy a o zmene a doplnení niektorých zákonov v z.n.p. za bežné účtovné obdobie a bezprostredne predchádzajúce účtovné obdobie je uvedená v tabuľke č.15.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dôvody pre zmenu výšky rezerv a opravných položiek,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zmeny významných položiek dlhodobého finančného majetku,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vydané dlhopisy a iné cenné papiere,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zmena právnej formy účtovnej jednotky,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mimoriadne udalosti, ak majú vplyv na hospodárenie účtovnej jednotky, napríklad živelné pohromy,</w:t>
      </w:r>
    </w:p>
    <w:p>
      <w:pPr>
        <w:pStyle w:val="Pismenka"/>
        <w:numPr>
          <w:ilvl w:val="0"/>
          <w:numId w:val="21"/>
        </w:numPr>
        <w:ind w:left="284" w:hanging="284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iné mimoriadne skutočnosti</w:t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Opis skutočností: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2023</w:t>
      </w:r>
      <w:r>
        <w:rPr>
          <w:sz w:val="24"/>
          <w:szCs w:val="24"/>
        </w:rPr>
        <w:t xml:space="preserve"> nenastali také udalosti, ktoré by si vyžadovali zverejnenie alebo vykázanie v účtovnej závierke za rok 2023. Upozorňujeme ale na skutočnosť pokračovania šírenia ochorenia COVID - 19, čo má negatívny vplyv na fungovanie obce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ms sans serif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Obec Dubno</w:t>
    </w:r>
  </w:p>
  <w:p>
    <w:pPr>
      <w:pStyle w:val="Hlavika"/>
      <w:rPr/>
    </w:pPr>
    <w:r>
      <w:rPr/>
      <w:t xml:space="preserve">                               </w:t>
    </w:r>
    <w:r>
      <w:rPr/>
      <w:t>Poznámky  induviduálnej účtovnnej uzávierky zostavená k 31.12.2023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36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decimal"/>
      <w:lvlText w:val="%1."/>
      <w:lvlJc w:val="left"/>
      <w:pPr>
        <w:ind w:left="644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sz w:val="24"/>
        <w:b/>
        <w:rFonts w:cs="Times New Roman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23"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rFonts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lvl w:ilvl="0">
      <w:start w:val="1"/>
      <w:numFmt w:val="lowerLetter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lvl w:ilvl="0">
      <w:start w:val="1"/>
      <w:numFmt w:val="lowerLetter"/>
      <w:lvlText w:val="%1)"/>
      <w:lvlJc w:val="left"/>
      <w:pPr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56b2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sk-SK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lbChar" w:customStyle="1">
    <w:name w:val="Élőláb Char"/>
    <w:basedOn w:val="DefaultParagraphFont"/>
    <w:link w:val="llb"/>
    <w:qFormat/>
    <w:rsid w:val="00156b2d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BuborkszvegChar" w:customStyle="1">
    <w:name w:val="Buborékszöveg Char"/>
    <w:basedOn w:val="DefaultParagraphFont"/>
    <w:link w:val="Buborkszveg"/>
    <w:semiHidden/>
    <w:qFormat/>
    <w:rsid w:val="00156b2d"/>
    <w:rPr>
      <w:rFonts w:ascii="Tahoma" w:hAnsi="Tahoma" w:eastAsia="Times New Roman" w:cs="Tahoma"/>
      <w:sz w:val="16"/>
      <w:szCs w:val="16"/>
      <w:lang w:eastAsia="sk-SK"/>
    </w:rPr>
  </w:style>
  <w:style w:type="character" w:styleId="Pagenumber">
    <w:name w:val="page number"/>
    <w:basedOn w:val="DefaultParagraphFont"/>
    <w:qFormat/>
    <w:rsid w:val="00156b2d"/>
    <w:rPr/>
  </w:style>
  <w:style w:type="character" w:styleId="SzvegtrzsChar" w:customStyle="1">
    <w:name w:val="Szövegtörzs Char"/>
    <w:basedOn w:val="DefaultParagraphFont"/>
    <w:link w:val="Szvegtrzs"/>
    <w:qFormat/>
    <w:rsid w:val="00156b2d"/>
    <w:rPr>
      <w:rFonts w:ascii="Times New Roman" w:hAnsi="Times New Roman" w:eastAsia="Times New Roman" w:cs="Times New Roman"/>
      <w:sz w:val="18"/>
      <w:szCs w:val="20"/>
      <w:lang w:eastAsia="sk-SK"/>
    </w:rPr>
  </w:style>
  <w:style w:type="character" w:styleId="LfejChar" w:customStyle="1">
    <w:name w:val="Élőfej Char"/>
    <w:basedOn w:val="DefaultParagraphFont"/>
    <w:link w:val="lfej"/>
    <w:qFormat/>
    <w:rsid w:val="00156b2d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ListLabel1">
    <w:name w:val="ListLabel 1"/>
    <w:qFormat/>
    <w:rPr>
      <w:rFonts w:eastAsia="Times New Roman" w:cs="Times New Roman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b w:val="false"/>
      <w:sz w:val="24"/>
    </w:rPr>
  </w:style>
  <w:style w:type="character" w:styleId="ListLabel7">
    <w:name w:val="ListLabel 7"/>
    <w:qFormat/>
    <w:rPr>
      <w:b w:val="false"/>
      <w:sz w:val="24"/>
    </w:rPr>
  </w:style>
  <w:style w:type="character" w:styleId="ListLabel8">
    <w:name w:val="ListLabel 8"/>
    <w:qFormat/>
    <w:rPr>
      <w:b w:val="false"/>
    </w:rPr>
  </w:style>
  <w:style w:type="character" w:styleId="ListLabel9">
    <w:name w:val="ListLabel 9"/>
    <w:qFormat/>
    <w:rPr>
      <w:b w:val="false"/>
    </w:rPr>
  </w:style>
  <w:style w:type="character" w:styleId="ListLabel10">
    <w:name w:val="ListLabel 10"/>
    <w:qFormat/>
    <w:rPr>
      <w:b w:val="false"/>
      <w:sz w:val="24"/>
    </w:rPr>
  </w:style>
  <w:style w:type="character" w:styleId="ListLabel11">
    <w:name w:val="ListLabel 11"/>
    <w:qFormat/>
    <w:rPr>
      <w:b w:val="false"/>
      <w:sz w:val="24"/>
    </w:rPr>
  </w:style>
  <w:style w:type="character" w:styleId="ListLabel12">
    <w:name w:val="ListLabel 12"/>
    <w:qFormat/>
    <w:rPr>
      <w:b w:val="false"/>
      <w:sz w:val="24"/>
    </w:rPr>
  </w:style>
  <w:style w:type="character" w:styleId="ListLabel13">
    <w:name w:val="ListLabel 13"/>
    <w:qFormat/>
    <w:rPr>
      <w:b/>
      <w:sz w:val="24"/>
    </w:rPr>
  </w:style>
  <w:style w:type="character" w:styleId="ListLabel14">
    <w:name w:val="ListLabel 14"/>
    <w:qFormat/>
    <w:rPr>
      <w:b w:val="false"/>
      <w:sz w:val="24"/>
    </w:rPr>
  </w:style>
  <w:style w:type="character" w:styleId="ListLabel15">
    <w:name w:val="ListLabel 15"/>
    <w:qFormat/>
    <w:rPr>
      <w:b w:val="false"/>
      <w:sz w:val="24"/>
    </w:rPr>
  </w:style>
  <w:style w:type="character" w:styleId="ListLabel16">
    <w:name w:val="ListLabel 16"/>
    <w:qFormat/>
    <w:rPr>
      <w:b w:val="false"/>
      <w:sz w:val="24"/>
    </w:rPr>
  </w:style>
  <w:style w:type="character" w:styleId="ListLabel17">
    <w:name w:val="ListLabel 17"/>
    <w:qFormat/>
    <w:rPr>
      <w:b/>
      <w:sz w:val="24"/>
    </w:rPr>
  </w:style>
  <w:style w:type="character" w:styleId="ListLabel18">
    <w:name w:val="ListLabel 18"/>
    <w:qFormat/>
    <w:rPr>
      <w:rFonts w:eastAsia="Times New Roman" w:cs="Times New Roman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b/>
      <w:sz w:val="24"/>
    </w:rPr>
  </w:style>
  <w:style w:type="character" w:styleId="ListLabel23">
    <w:name w:val="ListLabel 23"/>
    <w:qFormat/>
    <w:rPr>
      <w:b/>
      <w:sz w:val="24"/>
    </w:rPr>
  </w:style>
  <w:style w:type="character" w:styleId="ListLabel24">
    <w:name w:val="ListLabel 24"/>
    <w:qFormat/>
    <w:rPr>
      <w:b w:val="false"/>
      <w:sz w:val="24"/>
    </w:rPr>
  </w:style>
  <w:style w:type="character" w:styleId="ListLabel25">
    <w:name w:val="ListLabel 25"/>
    <w:qFormat/>
    <w:rPr>
      <w:b w:val="false"/>
      <w:sz w:val="24"/>
    </w:rPr>
  </w:style>
  <w:style w:type="character" w:styleId="ListLabel26">
    <w:name w:val="ListLabel 26"/>
    <w:qFormat/>
    <w:rPr>
      <w:b/>
      <w:sz w:val="24"/>
    </w:rPr>
  </w:style>
  <w:style w:type="character" w:styleId="ListLabel27">
    <w:name w:val="ListLabel 27"/>
    <w:qFormat/>
    <w:rPr>
      <w:b w:val="false"/>
    </w:rPr>
  </w:style>
  <w:style w:type="character" w:styleId="ListLabel28">
    <w:name w:val="ListLabel 28"/>
    <w:qFormat/>
    <w:rPr>
      <w:b w:val="false"/>
      <w:sz w:val="24"/>
    </w:rPr>
  </w:style>
  <w:style w:type="character" w:styleId="ListLabel29">
    <w:name w:val="ListLabel 29"/>
    <w:qFormat/>
    <w:rPr>
      <w:rFonts w:eastAsia="Times New Roman" w:cs="Times New Roman"/>
      <w:b/>
      <w:sz w:val="24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b/>
    </w:rPr>
  </w:style>
  <w:style w:type="character" w:styleId="ListLabel34">
    <w:name w:val="ListLabel 34"/>
    <w:qFormat/>
    <w:rPr>
      <w:color w:val="000000"/>
    </w:rPr>
  </w:style>
  <w:style w:type="character" w:styleId="ListLabel35">
    <w:name w:val="ListLabel 35"/>
    <w:qFormat/>
    <w:rPr>
      <w:b w:val="false"/>
      <w:color w:val="00000A"/>
    </w:rPr>
  </w:style>
  <w:style w:type="character" w:styleId="ListLabel36">
    <w:name w:val="ListLabel 36"/>
    <w:qFormat/>
    <w:rPr>
      <w:color w:val="000000"/>
    </w:rPr>
  </w:style>
  <w:style w:type="character" w:styleId="ListLabel37">
    <w:name w:val="ListLabel 37"/>
    <w:qFormat/>
    <w:rPr>
      <w:b/>
      <w:sz w:val="24"/>
    </w:rPr>
  </w:style>
  <w:style w:type="character" w:styleId="ListLabel38">
    <w:name w:val="ListLabel 38"/>
    <w:qFormat/>
    <w:rPr>
      <w:rFonts w:eastAsia="Times New Roman" w:cs="Times New Roman"/>
      <w:b/>
      <w:color w:val="00000A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b w:val="false"/>
    </w:rPr>
  </w:style>
  <w:style w:type="character" w:styleId="ListLabel43">
    <w:name w:val="ListLabel 43"/>
    <w:qFormat/>
    <w:rPr>
      <w:b w:val="false"/>
    </w:rPr>
  </w:style>
  <w:style w:type="character" w:styleId="ListLabel44">
    <w:name w:val="ListLabel 44"/>
    <w:qFormat/>
    <w:rPr>
      <w:b w:val="false"/>
      <w:color w:val="00000A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SzvegtrzsChar"/>
    <w:rsid w:val="00156b2d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ta">
    <w:name w:val="Footer"/>
    <w:basedOn w:val="Normal"/>
    <w:link w:val="llbChar"/>
    <w:rsid w:val="00156b2d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uborkszvegChar"/>
    <w:semiHidden/>
    <w:qFormat/>
    <w:rsid w:val="00156b2d"/>
    <w:pPr/>
    <w:rPr>
      <w:rFonts w:ascii="Tahoma" w:hAnsi="Tahoma" w:cs="Tahoma"/>
      <w:sz w:val="16"/>
      <w:szCs w:val="16"/>
    </w:rPr>
  </w:style>
  <w:style w:type="paragraph" w:styleId="Zkladntext1" w:customStyle="1">
    <w:name w:val="Základní text1"/>
    <w:qFormat/>
    <w:rsid w:val="00156b2d"/>
    <w:pPr>
      <w:widowControl/>
      <w:bidi w:val="0"/>
      <w:spacing w:lineRule="auto" w:line="240" w:before="144" w:after="144"/>
      <w:ind w:firstLine="709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sk-SK" w:val="sk-SK" w:bidi="ar-SA"/>
    </w:rPr>
  </w:style>
  <w:style w:type="paragraph" w:styleId="Pismenka" w:customStyle="1">
    <w:name w:val="Pismenka"/>
    <w:basedOn w:val="Telotextu"/>
    <w:qFormat/>
    <w:rsid w:val="00156b2d"/>
    <w:pPr>
      <w:tabs>
        <w:tab w:val="left" w:pos="426" w:leader="none"/>
      </w:tabs>
      <w:ind w:left="426" w:hanging="426"/>
    </w:pPr>
    <w:rPr>
      <w:b/>
    </w:rPr>
  </w:style>
  <w:style w:type="paragraph" w:styleId="Hlavika">
    <w:name w:val="Header"/>
    <w:basedOn w:val="Normal"/>
    <w:link w:val="lfejChar"/>
    <w:rsid w:val="00156b2d"/>
    <w:pPr>
      <w:tabs>
        <w:tab w:val="center" w:pos="4536" w:leader="none"/>
        <w:tab w:val="right" w:pos="9072" w:leader="none"/>
      </w:tabs>
    </w:pPr>
    <w:rPr/>
  </w:style>
  <w:style w:type="paragraph" w:styleId="TltlTextopatreniaArialNarrow11ptZa0pt" w:customStyle="1">
    <w:name w:val="Štýl Štýl Text opatrenia + Arial Narrow 11 pt + Za:  0 pt"/>
    <w:basedOn w:val="Normal"/>
    <w:qFormat/>
    <w:rsid w:val="00156b2d"/>
    <w:pPr>
      <w:spacing w:before="240" w:after="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styleId="Odstavec" w:customStyle="1">
    <w:name w:val="odstavec"/>
    <w:basedOn w:val="Normal"/>
    <w:autoRedefine/>
    <w:qFormat/>
    <w:rsid w:val="00156b2d"/>
    <w:pPr>
      <w:ind w:right="-79" w:hanging="0"/>
      <w:jc w:val="both"/>
    </w:pPr>
    <w:rPr>
      <w:sz w:val="24"/>
      <w:szCs w:val="24"/>
    </w:rPr>
  </w:style>
  <w:style w:type="paragraph" w:styleId="Default" w:customStyle="1">
    <w:name w:val="Default"/>
    <w:qFormat/>
    <w:rsid w:val="00156b2d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sz w:val="24"/>
      <w:szCs w:val="24"/>
      <w:lang w:eastAsia="sk-SK" w:val="sk-SK" w:bidi="ar-SA"/>
    </w:rPr>
  </w:style>
  <w:style w:type="paragraph" w:styleId="ListParagraph">
    <w:name w:val="List Paragraph"/>
    <w:basedOn w:val="Normal"/>
    <w:uiPriority w:val="34"/>
    <w:qFormat/>
    <w:rsid w:val="00cc160a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LibreOffice/5.3.2.2$Windows_x86 LibreOffice_project/6cd4f1ef626f15116896b1d8e1398b56da0d0ee1</Application>
  <Pages>32</Pages>
  <Words>4343</Words>
  <Characters>26909</Characters>
  <CharactersWithSpaces>31031</CharactersWithSpaces>
  <Paragraphs>806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2024-03-05T09:05:00Z</dcterms:created>
  <dc:creator>Ladislav Kisfaludi</dc:creator>
  <dc:description/>
  <dc:language>sk-SK</dc:language>
  <cp:lastModifiedBy>Ladislav Kisfaludi</cp:lastModifiedBy>
  <dcterms:modified xsi:type="dcterms:W3CDTF">2024-03-05T09:59:00Z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