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tabs>
          <w:tab w:val="left" w:pos="426" w:leader="none"/>
        </w:tabs>
        <w:jc w:val="center"/>
        <w:rPr>
          <w:b/>
          <w:b/>
          <w:sz w:val="36"/>
        </w:rPr>
      </w:pPr>
      <w:bookmarkStart w:id="0" w:name="_GoBack"/>
      <w:bookmarkEnd w:id="0"/>
      <w:r>
        <w:rPr>
          <w:b/>
          <w:sz w:val="36"/>
        </w:rPr>
        <w:t>Poznámky k 31.12.2023</w:t>
      </w:r>
    </w:p>
    <w:p>
      <w:pPr>
        <w:pStyle w:val="Normal"/>
        <w:rPr>
          <w:b/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>
      <w:pPr>
        <w:pStyle w:val="Normal"/>
        <w:numPr>
          <w:ilvl w:val="0"/>
          <w:numId w:val="1"/>
        </w:numPr>
        <w:tabs>
          <w:tab w:val="left" w:pos="284" w:leader="none"/>
        </w:tabs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tbl>
      <w:tblPr>
        <w:tblW w:w="10260" w:type="dxa"/>
        <w:jc w:val="left"/>
        <w:tblInd w:w="10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4781"/>
        <w:gridCol w:w="5478"/>
      </w:tblGrid>
      <w:tr>
        <w:trPr/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Dubno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Dubno  č. 40, 980 35 Gemerský Jablonec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00649546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bola založená v roku 1990 zákonom č.369/1990 Zb. o obecnom zriadení.</w:t>
            </w:r>
          </w:p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- zo zákona č.369/1990 Zb.</w:t>
            </w:r>
          </w:p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checked/>
                  </w:checkBox>
                </w:ffData>
              </w:fldChar>
            </w:r>
            <w:r>
              <w:instrText> FORMCHECKBOX </w:instrText>
            </w:r>
            <w:r>
              <w:fldChar w:fldCharType="separate"/>
            </w:r>
            <w:bookmarkStart w:id="1" w:name="__Fieldmark__23_2532725485"/>
            <w:bookmarkStart w:id="2" w:name="__Fieldmark__23_2532725485"/>
            <w:bookmarkStart w:id="3" w:name="__Fieldmark__23_2532725485"/>
            <w:bookmarkEnd w:id="3"/>
            <w:r>
              <w:rPr/>
            </w:r>
            <w:r>
              <w:fldChar w:fldCharType="end"/>
            </w:r>
            <w:r>
              <w:rPr>
                <w:sz w:val="24"/>
                <w:szCs w:val="24"/>
              </w:rPr>
              <w:t>riadna</w:t>
            </w:r>
          </w:p>
          <w:p>
            <w:pPr>
              <w:pStyle w:val="Normal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instrText> FORMCHECKBOX </w:instrText>
            </w:r>
            <w:r>
              <w:fldChar w:fldCharType="separate"/>
            </w:r>
            <w:bookmarkStart w:id="4" w:name="__Fieldmark__27_2532725485"/>
            <w:bookmarkStart w:id="5" w:name="__Fieldmark__27_2532725485"/>
            <w:bookmarkStart w:id="6" w:name="__Fieldmark__27_2532725485"/>
            <w:bookmarkEnd w:id="6"/>
            <w:r>
              <w:rPr/>
            </w:r>
            <w:r>
              <w:fldChar w:fldCharType="end"/>
            </w:r>
          </w:p>
        </w:tc>
      </w:tr>
      <w:tr>
        <w:trPr/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instrText> FORMCHECKBOX </w:instrText>
            </w:r>
            <w:r>
              <w:fldChar w:fldCharType="separate"/>
            </w:r>
            <w:bookmarkStart w:id="7" w:name="__Fieldmark__31_2532725485"/>
            <w:bookmarkStart w:id="8" w:name="__Fieldmark__31_2532725485"/>
            <w:bookmarkStart w:id="9" w:name="__Fieldmark__31_2532725485"/>
            <w:bookmarkEnd w:id="9"/>
            <w:r>
              <w:rPr/>
            </w:r>
            <w:r>
              <w:fldChar w:fldCharType="end"/>
            </w:r>
            <w:r>
              <w:rPr>
                <w:sz w:val="24"/>
                <w:szCs w:val="24"/>
              </w:rPr>
              <w:t>áno</w:t>
            </w:r>
          </w:p>
          <w:p>
            <w:pPr>
              <w:pStyle w:val="Normal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checked/>
                  </w:checkBox>
                </w:ffData>
              </w:fldChar>
            </w:r>
            <w:r>
              <w:instrText> FORMCHECKBOX </w:instrText>
            </w:r>
            <w:r>
              <w:fldChar w:fldCharType="separate"/>
            </w:r>
            <w:bookmarkStart w:id="10" w:name="__Fieldmark__35_2532725485"/>
            <w:bookmarkStart w:id="11" w:name="__Fieldmark__35_2532725485"/>
            <w:bookmarkStart w:id="12" w:name="__Fieldmark__35_2532725485"/>
            <w:bookmarkEnd w:id="12"/>
            <w:r>
              <w:rPr/>
            </w:r>
            <w:r>
              <w:fldChar w:fldCharType="end"/>
            </w:r>
            <w:r>
              <w:rPr>
                <w:sz w:val="24"/>
                <w:szCs w:val="24"/>
              </w:rPr>
              <w:t xml:space="preserve">    nie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checked/>
                  </w:checkBox>
                </w:ffData>
              </w:fldChar>
            </w:r>
            <w:r>
              <w:instrText> FORMCHECKBOX </w:instrText>
            </w:r>
            <w:r>
              <w:fldChar w:fldCharType="separate"/>
            </w:r>
            <w:bookmarkStart w:id="13" w:name="__Fieldmark__40_2532725485"/>
            <w:bookmarkStart w:id="14" w:name="__Fieldmark__40_2532725485"/>
            <w:bookmarkStart w:id="15" w:name="__Fieldmark__40_2532725485"/>
            <w:bookmarkEnd w:id="15"/>
            <w:r>
              <w:rPr/>
            </w:r>
            <w:r>
              <w:fldChar w:fldCharType="end"/>
            </w:r>
            <w:r>
              <w:rPr>
                <w:sz w:val="24"/>
                <w:szCs w:val="24"/>
              </w:rPr>
              <w:t>áno</w:t>
            </w:r>
          </w:p>
          <w:p>
            <w:pPr>
              <w:pStyle w:val="Normal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instrText> FORMCHECKBOX </w:instrText>
            </w:r>
            <w:r>
              <w:fldChar w:fldCharType="separate"/>
            </w:r>
            <w:bookmarkStart w:id="16" w:name="__Fieldmark__44_2532725485"/>
            <w:bookmarkStart w:id="17" w:name="__Fieldmark__44_2532725485"/>
            <w:bookmarkStart w:id="18" w:name="__Fieldmark__44_2532725485"/>
            <w:bookmarkEnd w:id="18"/>
            <w:r>
              <w:rPr/>
            </w:r>
            <w:r>
              <w:fldChar w:fldCharType="end"/>
            </w:r>
            <w:r>
              <w:rPr>
                <w:sz w:val="24"/>
                <w:szCs w:val="24"/>
              </w:rPr>
              <w:t xml:space="preserve">    nie</w:t>
            </w:r>
          </w:p>
        </w:tc>
      </w:tr>
    </w:tbl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1"/>
        </w:numPr>
        <w:tabs>
          <w:tab w:val="left" w:pos="284" w:leader="none"/>
        </w:tabs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tbl>
      <w:tblPr>
        <w:tblW w:w="10260" w:type="dxa"/>
        <w:jc w:val="left"/>
        <w:tblInd w:w="10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4781"/>
        <w:gridCol w:w="5478"/>
      </w:tblGrid>
      <w:tr>
        <w:trPr/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sz w:val="24"/>
                <w:szCs w:val="24"/>
                <w:highlight w:val="white"/>
              </w:rPr>
            </w:pPr>
            <w:r>
              <w:rPr>
                <w:sz w:val="24"/>
                <w:szCs w:val="24"/>
              </w:rPr>
              <w:t xml:space="preserve">Obec - podľa zákona č.369/1990 Zb. je základnou úlohou obce </w:t>
            </w:r>
            <w:r>
              <w:rPr>
                <w:sz w:val="24"/>
                <w:szCs w:val="24"/>
                <w:shd w:fill="FFFFFF" w:val="clear"/>
              </w:rPr>
              <w:t>pri výkone samosprávy starostlivosť o všestranný rozvoj jej územia a o potreby jej obyvateľov</w:t>
            </w:r>
          </w:p>
        </w:tc>
      </w:tr>
    </w:tbl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1"/>
        </w:numPr>
        <w:tabs>
          <w:tab w:val="left" w:pos="284" w:leader="none"/>
        </w:tabs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tbl>
      <w:tblPr>
        <w:tblW w:w="10260" w:type="dxa"/>
        <w:jc w:val="left"/>
        <w:tblInd w:w="10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4781"/>
        <w:gridCol w:w="5478"/>
      </w:tblGrid>
      <w:tr>
        <w:trPr/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Alexandra Farkasová – starostka obce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Eva Szilágyiová – zástupca starostky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1,7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Počet zamestnancov ku dňu, ku ktorému sa zostavuje účtovná závierka účtovnej jednotky z toho:</w:t>
            </w:r>
          </w:p>
          <w:p>
            <w:pPr>
              <w:pStyle w:val="Normal"/>
              <w:numPr>
                <w:ilvl w:val="0"/>
                <w:numId w:val="2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rPr>
          <w:b/>
          <w:b/>
          <w:color w:val="FF0000"/>
          <w:sz w:val="24"/>
          <w:szCs w:val="24"/>
        </w:rPr>
      </w:pPr>
      <w:r>
        <w:rPr>
          <w:b/>
          <w:color w:val="FF0000"/>
          <w:sz w:val="24"/>
          <w:szCs w:val="24"/>
        </w:rPr>
      </w:r>
    </w:p>
    <w:p>
      <w:pPr>
        <w:pStyle w:val="Normal"/>
        <w:rPr>
          <w:b/>
          <w:b/>
          <w:color w:val="FF0000"/>
          <w:sz w:val="24"/>
          <w:szCs w:val="24"/>
        </w:rPr>
      </w:pPr>
      <w:r>
        <w:rPr>
          <w:b/>
          <w:color w:val="FF0000"/>
          <w:sz w:val="24"/>
          <w:szCs w:val="24"/>
        </w:rPr>
      </w:r>
    </w:p>
    <w:p>
      <w:pPr>
        <w:pStyle w:val="Normal"/>
        <w:rPr>
          <w:b/>
          <w:b/>
          <w:color w:val="FF0000"/>
          <w:sz w:val="24"/>
          <w:szCs w:val="24"/>
        </w:rPr>
      </w:pPr>
      <w:r>
        <w:rPr>
          <w:b/>
          <w:color w:val="FF0000"/>
          <w:sz w:val="24"/>
          <w:szCs w:val="24"/>
        </w:rPr>
      </w:r>
    </w:p>
    <w:p>
      <w:pPr>
        <w:pStyle w:val="Normal"/>
        <w:rPr>
          <w:b/>
          <w:b/>
          <w:color w:val="FF0000"/>
          <w:sz w:val="24"/>
          <w:szCs w:val="24"/>
        </w:rPr>
      </w:pPr>
      <w:r>
        <w:rPr>
          <w:b/>
          <w:color w:val="FF0000"/>
          <w:sz w:val="24"/>
          <w:szCs w:val="24"/>
        </w:rPr>
      </w:r>
    </w:p>
    <w:p>
      <w:pPr>
        <w:pStyle w:val="Normal"/>
        <w:rPr>
          <w:b/>
          <w:b/>
          <w:color w:val="FF0000"/>
          <w:sz w:val="24"/>
          <w:szCs w:val="24"/>
        </w:rPr>
      </w:pPr>
      <w:r>
        <w:rPr>
          <w:b/>
          <w:color w:val="FF0000"/>
          <w:sz w:val="24"/>
          <w:szCs w:val="24"/>
        </w:rPr>
      </w:r>
    </w:p>
    <w:p>
      <w:pPr>
        <w:pStyle w:val="Normal"/>
        <w:rPr>
          <w:b/>
          <w:b/>
          <w:color w:val="FF0000"/>
          <w:sz w:val="24"/>
          <w:szCs w:val="24"/>
        </w:rPr>
      </w:pPr>
      <w:r>
        <w:rPr>
          <w:b/>
          <w:color w:val="FF0000"/>
          <w:sz w:val="24"/>
          <w:szCs w:val="24"/>
        </w:rPr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Informácie o organizáciách zriadených a založených účtovnou jednotkou: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  <w:t>Obec nemá v zriaďovateľskej a zakladateľskej pôsobnosti rozpočtovú organizáciu.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numPr>
          <w:ilvl w:val="0"/>
          <w:numId w:val="3"/>
        </w:numPr>
        <w:tabs>
          <w:tab w:val="left" w:pos="284" w:leader="none"/>
        </w:tabs>
        <w:ind w:left="284" w:hanging="284"/>
        <w:jc w:val="both"/>
        <w:rPr/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instrText> FORMCHECKBOX </w:instrText>
      </w:r>
      <w:r>
        <w:fldChar w:fldCharType="separate"/>
      </w:r>
      <w:bookmarkStart w:id="19" w:name="__Fieldmark__141_2532725485"/>
      <w:bookmarkStart w:id="20" w:name="__Fieldmark__141_2532725485"/>
      <w:bookmarkStart w:id="21" w:name="__Fieldmark__141_2532725485"/>
      <w:bookmarkEnd w:id="21"/>
      <w:r>
        <w:rPr>
          <w:b/>
          <w:sz w:val="24"/>
          <w:szCs w:val="24"/>
        </w:rPr>
      </w:r>
      <w: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22" w:name="__Fieldmark__144_2532725485"/>
      <w:bookmarkStart w:id="23" w:name="__Fieldmark__144_2532725485"/>
      <w:bookmarkStart w:id="24" w:name="__Fieldmark__144_2532725485"/>
      <w:bookmarkEnd w:id="24"/>
      <w:r>
        <w:rPr>
          <w:rFonts w:cs="Tahoma"/>
          <w:b/>
          <w:bCs/>
          <w:sz w:val="22"/>
          <w:szCs w:val="22"/>
        </w:rPr>
      </w:r>
      <w: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>
      <w:pPr>
        <w:pStyle w:val="Normal"/>
        <w:spacing w:lineRule="auto" w:line="36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numPr>
          <w:ilvl w:val="0"/>
          <w:numId w:val="3"/>
        </w:numPr>
        <w:tabs>
          <w:tab w:val="left" w:pos="284" w:leader="none"/>
        </w:tabs>
        <w:ind w:left="284" w:hanging="284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>
      <w:pPr>
        <w:pStyle w:val="Normal"/>
        <w:ind w:left="284" w:hanging="0"/>
        <w:jc w:val="both"/>
        <w:rPr/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25" w:name="__Fieldmark__150_2532725485"/>
      <w:bookmarkStart w:id="26" w:name="__Fieldmark__150_2532725485"/>
      <w:bookmarkStart w:id="27" w:name="__Fieldmark__150_2532725485"/>
      <w:bookmarkEnd w:id="27"/>
      <w:r>
        <w:rPr>
          <w:sz w:val="24"/>
          <w:szCs w:val="24"/>
        </w:rPr>
      </w:r>
      <w: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instrText> FORMCHECKBOX </w:instrText>
      </w:r>
      <w:r>
        <w:fldChar w:fldCharType="separate"/>
      </w:r>
      <w:bookmarkStart w:id="28" w:name="__Fieldmark__153_2532725485"/>
      <w:bookmarkStart w:id="29" w:name="__Fieldmark__153_2532725485"/>
      <w:bookmarkStart w:id="30" w:name="__Fieldmark__153_2532725485"/>
      <w:bookmarkEnd w:id="30"/>
      <w:r>
        <w:rPr>
          <w:rFonts w:cs="Tahoma"/>
          <w:b/>
          <w:bCs/>
          <w:sz w:val="22"/>
          <w:szCs w:val="22"/>
        </w:rPr>
      </w:r>
      <w: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>
      <w:pPr>
        <w:pStyle w:val="Normal"/>
        <w:ind w:left="357" w:hanging="0"/>
        <w:jc w:val="both"/>
        <w:rPr>
          <w:rFonts w:cs="Tahoma"/>
          <w:b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jc w:val="left"/>
        <w:tblInd w:w="10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2353"/>
        <w:gridCol w:w="2465"/>
        <w:gridCol w:w="2464"/>
        <w:gridCol w:w="2977"/>
      </w:tblGrid>
      <w:tr>
        <w:trPr/>
        <w:tc>
          <w:tcPr>
            <w:tcW w:w="23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Druh zmeny </w:t>
            </w:r>
          </w:p>
        </w:tc>
        <w:tc>
          <w:tcPr>
            <w:tcW w:w="24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Dôvod zmeny </w:t>
            </w:r>
          </w:p>
        </w:tc>
        <w:tc>
          <w:tcPr>
            <w:tcW w:w="24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Peňažné vyjadrenie </w:t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</w:tc>
      </w:tr>
      <w:tr>
        <w:trPr/>
        <w:tc>
          <w:tcPr>
            <w:tcW w:w="23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24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24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2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23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24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24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2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</w:tbl>
    <w:p>
      <w:pPr>
        <w:pStyle w:val="Normal"/>
        <w:ind w:left="284" w:hanging="0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ind w:left="284" w:hanging="0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3"/>
        </w:numPr>
        <w:tabs>
          <w:tab w:val="left" w:pos="284" w:leader="none"/>
        </w:tabs>
        <w:ind w:left="284" w:hanging="284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 majetku a záväzkov</w:t>
      </w:r>
    </w:p>
    <w:p>
      <w:pPr>
        <w:pStyle w:val="Normal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tbl>
      <w:tblPr>
        <w:tblW w:w="10260" w:type="dxa"/>
        <w:jc w:val="left"/>
        <w:tblInd w:w="10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6378"/>
        <w:gridCol w:w="3881"/>
      </w:tblGrid>
      <w:tr>
        <w:trPr/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Telotextu"/>
              <w:ind w:left="1" w:hanging="0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>
            <w:pPr>
              <w:pStyle w:val="Normal"/>
              <w:ind w:left="284" w:hanging="0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Telotextu"/>
              <w:ind w:left="1" w:hanging="0"/>
              <w:jc w:val="left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  <w:p>
            <w:pPr>
              <w:pStyle w:val="Telotextu"/>
              <w:ind w:left="1" w:hanging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oceňujú sa v očakávanej výške záväzku alebo poistno-matematickými metódami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Telotextu"/>
              <w:ind w:left="34" w:hanging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Telotextu"/>
              <w:ind w:left="34" w:hanging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Telotextu"/>
              <w:ind w:left="34" w:hanging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>
      <w:pPr>
        <w:pStyle w:val="Normal"/>
        <w:ind w:left="284" w:hanging="0"/>
        <w:jc w:val="both"/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</w:r>
    </w:p>
    <w:p>
      <w:pPr>
        <w:pStyle w:val="Normal"/>
        <w:numPr>
          <w:ilvl w:val="0"/>
          <w:numId w:val="3"/>
        </w:numPr>
        <w:tabs>
          <w:tab w:val="left" w:pos="284" w:leader="none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>
      <w:pPr>
        <w:pStyle w:val="Normal"/>
        <w:ind w:left="284" w:hanging="0"/>
        <w:jc w:val="both"/>
        <w:rPr>
          <w:rFonts w:cs="Tahoma"/>
          <w:bCs/>
          <w:sz w:val="22"/>
          <w:szCs w:val="22"/>
        </w:rPr>
      </w:pPr>
      <w:r>
        <w:rPr>
          <w:sz w:val="24"/>
          <w:szCs w:val="24"/>
        </w:rPr>
        <w:t xml:space="preserve">Informácie odporúčam čerpať z vnútorného predpisu účtovnej jednotky. </w:t>
      </w:r>
    </w:p>
    <w:p>
      <w:pPr>
        <w:pStyle w:val="Normal"/>
        <w:ind w:left="284" w:hanging="0"/>
        <w:jc w:val="both"/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žesa vychádza z predpokladanej doby jeho užívania a predpokladaného priebehu jeho opotrebenia. Odpisovať sa začína</w:t>
      </w:r>
      <w:r>
        <w:rPr>
          <w:bCs/>
          <w:sz w:val="24"/>
          <w:szCs w:val="24"/>
        </w:rPr>
        <w:t xml:space="preserve">prvým dňom </w:t>
      </w:r>
      <w:r>
        <w:rPr>
          <w:sz w:val="24"/>
          <w:szCs w:val="24"/>
        </w:rPr>
        <w:t xml:space="preserve"> mesiaca, v ktorom bol dlhodobý majetok uvedený do používania.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Účtovné odpisy sa zaokrúhľujú na celé eurá nahor. Ak sa v priebehu používania majetku zistí, že doba odpisovania nezodpovedá opotrebeniu majetku, upravia sa odpisy majetku a doba odpisovania od 1.1. nasledujúceho roka.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Telotextu"/>
        <w:ind w:left="0" w:hanging="0"/>
        <w:rPr>
          <w:sz w:val="24"/>
          <w:szCs w:val="24"/>
        </w:rPr>
      </w:pPr>
      <w:r>
        <w:rPr>
          <w:sz w:val="24"/>
          <w:szCs w:val="24"/>
        </w:rPr>
        <w:t>Predpokladaná doba užívania a odpisové sadzby sú stanovené vnútorným predpisom:</w:t>
      </w:r>
    </w:p>
    <w:tbl>
      <w:tblPr>
        <w:tblW w:w="10206" w:type="dxa"/>
        <w:jc w:val="left"/>
        <w:tblInd w:w="10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2961"/>
        <w:gridCol w:w="3071"/>
        <w:gridCol w:w="4174"/>
      </w:tblGrid>
      <w:tr>
        <w:trPr/>
        <w:tc>
          <w:tcPr>
            <w:tcW w:w="29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Predpokladaná doba </w:t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Ročná odpisová sadzba</w:t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v %</w:t>
            </w:r>
          </w:p>
        </w:tc>
      </w:tr>
      <w:tr>
        <w:trPr/>
        <w:tc>
          <w:tcPr>
            <w:tcW w:w="29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/>
            </w:pPr>
            <w:r>
              <w:rPr/>
              <w:t>1</w:t>
            </w:r>
          </w:p>
        </w:tc>
        <w:tc>
          <w:tcPr>
            <w:tcW w:w="30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/>
            </w:pPr>
            <w:r>
              <w:rPr/>
              <w:t>4</w:t>
            </w:r>
          </w:p>
        </w:tc>
        <w:tc>
          <w:tcPr>
            <w:tcW w:w="4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/>
            </w:pPr>
            <w:r>
              <w:rPr/>
              <w:t>¼</w:t>
            </w:r>
          </w:p>
        </w:tc>
      </w:tr>
      <w:tr>
        <w:trPr/>
        <w:tc>
          <w:tcPr>
            <w:tcW w:w="29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/>
            </w:pPr>
            <w:r>
              <w:rPr/>
              <w:t>2</w:t>
            </w:r>
          </w:p>
        </w:tc>
        <w:tc>
          <w:tcPr>
            <w:tcW w:w="30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/>
            </w:pPr>
            <w:r>
              <w:rPr/>
              <w:t>6</w:t>
            </w:r>
          </w:p>
        </w:tc>
        <w:tc>
          <w:tcPr>
            <w:tcW w:w="4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/>
            </w:pPr>
            <w:r>
              <w:rPr/>
              <w:t>1/6</w:t>
            </w:r>
          </w:p>
        </w:tc>
      </w:tr>
      <w:tr>
        <w:trPr/>
        <w:tc>
          <w:tcPr>
            <w:tcW w:w="29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/>
            </w:pPr>
            <w:r>
              <w:rPr/>
              <w:t>3</w:t>
            </w:r>
          </w:p>
        </w:tc>
        <w:tc>
          <w:tcPr>
            <w:tcW w:w="30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/>
            </w:pPr>
            <w:r>
              <w:rPr/>
              <w:t>8</w:t>
            </w:r>
          </w:p>
        </w:tc>
        <w:tc>
          <w:tcPr>
            <w:tcW w:w="4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/>
            </w:pPr>
            <w:r>
              <w:rPr/>
              <w:t>1/8</w:t>
            </w:r>
          </w:p>
        </w:tc>
      </w:tr>
      <w:tr>
        <w:trPr/>
        <w:tc>
          <w:tcPr>
            <w:tcW w:w="29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/>
            </w:pPr>
            <w:r>
              <w:rPr/>
              <w:t>4</w:t>
            </w:r>
          </w:p>
        </w:tc>
        <w:tc>
          <w:tcPr>
            <w:tcW w:w="30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/>
            </w:pPr>
            <w:r>
              <w:rPr/>
              <w:t>12</w:t>
            </w:r>
          </w:p>
        </w:tc>
        <w:tc>
          <w:tcPr>
            <w:tcW w:w="4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/>
            </w:pPr>
            <w:r>
              <w:rPr/>
              <w:t>1/12</w:t>
            </w:r>
          </w:p>
        </w:tc>
      </w:tr>
      <w:tr>
        <w:trPr/>
        <w:tc>
          <w:tcPr>
            <w:tcW w:w="29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/>
            </w:pPr>
            <w:r>
              <w:rPr/>
              <w:t>5</w:t>
            </w:r>
          </w:p>
        </w:tc>
        <w:tc>
          <w:tcPr>
            <w:tcW w:w="30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/>
            </w:pPr>
            <w:r>
              <w:rPr/>
              <w:t>20</w:t>
            </w:r>
          </w:p>
        </w:tc>
        <w:tc>
          <w:tcPr>
            <w:tcW w:w="4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/>
            </w:pPr>
            <w:r>
              <w:rPr/>
              <w:t>1/20</w:t>
            </w:r>
          </w:p>
        </w:tc>
      </w:tr>
      <w:tr>
        <w:trPr/>
        <w:tc>
          <w:tcPr>
            <w:tcW w:w="29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/>
            </w:pPr>
            <w:r>
              <w:rPr/>
              <w:t>6</w:t>
            </w:r>
          </w:p>
        </w:tc>
        <w:tc>
          <w:tcPr>
            <w:tcW w:w="30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/>
            </w:pPr>
            <w:r>
              <w:rPr/>
              <w:t>40</w:t>
            </w:r>
          </w:p>
        </w:tc>
        <w:tc>
          <w:tcPr>
            <w:tcW w:w="4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/>
            </w:pPr>
            <w:r>
              <w:rPr/>
              <w:t>1/40</w:t>
            </w:r>
          </w:p>
        </w:tc>
      </w:tr>
    </w:tbl>
    <w:p>
      <w:pPr>
        <w:pStyle w:val="Normal"/>
        <w:jc w:val="both"/>
        <w:rPr>
          <w:sz w:val="24"/>
        </w:rPr>
      </w:pPr>
      <w:r>
        <w:rPr>
          <w:sz w:val="24"/>
        </w:rPr>
      </w:r>
    </w:p>
    <w:p>
      <w:pPr>
        <w:pStyle w:val="Normal"/>
        <w:jc w:val="both"/>
        <w:rPr>
          <w:sz w:val="24"/>
        </w:rPr>
      </w:pPr>
      <w:r>
        <w:rPr>
          <w:sz w:val="24"/>
        </w:rPr>
      </w:r>
    </w:p>
    <w:p>
      <w:pPr>
        <w:pStyle w:val="Normal"/>
        <w:jc w:val="both"/>
        <w:rPr>
          <w:sz w:val="24"/>
        </w:rPr>
      </w:pPr>
      <w:r>
        <w:rPr>
          <w:sz w:val="24"/>
        </w:rPr>
        <w:t>Drobný nehmotný majetok od 100,00 Eur do 2400,00 Eur, ktorý podľa vnútorného predpisu účtovnej jednotky nie je dlhodobým nehmotným majetkom sa účtuje pri obstaraní do nákladov na účet 518 - Ostatné služby.</w:t>
      </w:r>
    </w:p>
    <w:p>
      <w:pPr>
        <w:pStyle w:val="Normal"/>
        <w:jc w:val="both"/>
        <w:rPr>
          <w:sz w:val="24"/>
        </w:rPr>
      </w:pPr>
      <w:r>
        <w:rPr>
          <w:sz w:val="24"/>
        </w:rPr>
      </w:r>
    </w:p>
    <w:p>
      <w:pPr>
        <w:pStyle w:val="Normal"/>
        <w:jc w:val="both"/>
        <w:rPr>
          <w:sz w:val="24"/>
        </w:rPr>
      </w:pPr>
      <w:r>
        <w:rPr>
          <w:sz w:val="24"/>
        </w:rPr>
        <w:t xml:space="preserve">Drobný hmotný majetok od 100,00Eur do 1700,00 Eur, ktorý podľa vnútorného predpisuúčtovnej jednotky nie je dlhodobým hmotným majetkom sa účtuje ako zásoby na účte 501-spotreba materiálu. </w:t>
      </w:r>
    </w:p>
    <w:p>
      <w:pPr>
        <w:pStyle w:val="Normal"/>
        <w:jc w:val="both"/>
        <w:rPr>
          <w:sz w:val="24"/>
        </w:rPr>
      </w:pPr>
      <w:r>
        <w:rPr>
          <w:sz w:val="24"/>
        </w:rPr>
      </w:r>
    </w:p>
    <w:p>
      <w:pPr>
        <w:pStyle w:val="Normal"/>
        <w:jc w:val="both"/>
        <w:rPr>
          <w:sz w:val="24"/>
        </w:rPr>
      </w:pPr>
      <w:r>
        <w:rPr>
          <w:sz w:val="24"/>
        </w:rPr>
      </w:r>
    </w:p>
    <w:p>
      <w:pPr>
        <w:pStyle w:val="Normal"/>
        <w:jc w:val="both"/>
        <w:rPr>
          <w:sz w:val="24"/>
        </w:rPr>
      </w:pPr>
      <w:r>
        <w:rPr>
          <w:sz w:val="24"/>
        </w:rPr>
      </w:r>
    </w:p>
    <w:p>
      <w:pPr>
        <w:pStyle w:val="Normal"/>
        <w:jc w:val="both"/>
        <w:rPr>
          <w:sz w:val="24"/>
        </w:rPr>
      </w:pPr>
      <w:r>
        <w:rPr>
          <w:sz w:val="24"/>
        </w:rPr>
      </w:r>
    </w:p>
    <w:p>
      <w:pPr>
        <w:pStyle w:val="Pismenka"/>
        <w:ind w:left="425" w:hanging="425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Normal"/>
        <w:numPr>
          <w:ilvl w:val="0"/>
          <w:numId w:val="3"/>
        </w:numPr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Účtovná jednotka podľa vnútorného predpisu tvorila opravné položky k:</w:t>
      </w:r>
    </w:p>
    <w:p>
      <w:pPr>
        <w:pStyle w:val="Normal"/>
        <w:numPr>
          <w:ilvl w:val="0"/>
          <w:numId w:val="22"/>
        </w:numPr>
        <w:rPr/>
      </w:pPr>
      <w:r>
        <w:rPr>
          <w:sz w:val="24"/>
          <w:szCs w:val="24"/>
        </w:rPr>
        <w:t>odpisovanému dlhodobému majetku</w:t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instrText> FORMCHECKBOX </w:instrText>
      </w:r>
      <w:r>
        <w:fldChar w:fldCharType="separate"/>
      </w:r>
      <w:bookmarkStart w:id="31" w:name="__Fieldmark__410_2532725485"/>
      <w:bookmarkStart w:id="32" w:name="__Fieldmark__410_2532725485"/>
      <w:bookmarkStart w:id="33" w:name="__Fieldmark__410_2532725485"/>
      <w:bookmarkEnd w:id="33"/>
      <w:r>
        <w:rPr>
          <w:sz w:val="24"/>
          <w:szCs w:val="24"/>
        </w:rPr>
      </w:r>
      <w: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34" w:name="__Fieldmark__413_2532725485"/>
      <w:bookmarkStart w:id="35" w:name="__Fieldmark__413_2532725485"/>
      <w:bookmarkStart w:id="36" w:name="__Fieldmark__413_2532725485"/>
      <w:bookmarkEnd w:id="36"/>
      <w:r>
        <w:rPr>
          <w:rFonts w:cs="Tahoma"/>
          <w:b/>
          <w:bCs/>
          <w:sz w:val="22"/>
          <w:szCs w:val="22"/>
        </w:rPr>
      </w:r>
      <w: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>
      <w:pPr>
        <w:pStyle w:val="Normal"/>
        <w:numPr>
          <w:ilvl w:val="0"/>
          <w:numId w:val="22"/>
        </w:numPr>
        <w:rPr/>
      </w:pPr>
      <w:r>
        <w:rPr>
          <w:sz w:val="24"/>
          <w:szCs w:val="24"/>
        </w:rPr>
        <w:t>neodpisovanému dlhodobému majetku</w:t>
      </w:r>
      <w:r>
        <w:rPr>
          <w:rFonts w:cs="Tahoma"/>
          <w:b/>
          <w:bCs/>
          <w:sz w:val="22"/>
          <w:szCs w:val="22"/>
        </w:rPr>
        <w:tab/>
        <w:tab/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37" w:name="__Fieldmark__426_2532725485"/>
      <w:bookmarkStart w:id="38" w:name="__Fieldmark__426_2532725485"/>
      <w:bookmarkStart w:id="39" w:name="__Fieldmark__426_2532725485"/>
      <w:bookmarkEnd w:id="39"/>
      <w:r>
        <w:rPr>
          <w:rFonts w:cs="Tahoma"/>
          <w:b/>
          <w:bCs/>
          <w:sz w:val="22"/>
          <w:szCs w:val="22"/>
        </w:rPr>
      </w:r>
      <w: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instrText> FORMCHECKBOX </w:instrText>
      </w:r>
      <w:r>
        <w:fldChar w:fldCharType="separate"/>
      </w:r>
      <w:bookmarkStart w:id="40" w:name="__Fieldmark__429_2532725485"/>
      <w:bookmarkStart w:id="41" w:name="__Fieldmark__429_2532725485"/>
      <w:bookmarkStart w:id="42" w:name="__Fieldmark__429_2532725485"/>
      <w:bookmarkEnd w:id="42"/>
      <w:r>
        <w:rPr>
          <w:rFonts w:cs="Tahoma"/>
          <w:b/>
          <w:bCs/>
          <w:sz w:val="22"/>
          <w:szCs w:val="22"/>
        </w:rPr>
      </w:r>
      <w: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>
      <w:pPr>
        <w:pStyle w:val="Normal"/>
        <w:numPr>
          <w:ilvl w:val="0"/>
          <w:numId w:val="22"/>
        </w:numPr>
        <w:rPr/>
      </w:pPr>
      <w:r>
        <w:rPr>
          <w:rFonts w:cs="Tahoma"/>
          <w:bCs/>
          <w:sz w:val="24"/>
          <w:szCs w:val="24"/>
        </w:rPr>
        <w:t>nedokončeným investíciám</w:t>
      </w:r>
      <w:r>
        <w:rPr>
          <w:rFonts w:cs="Tahoma"/>
          <w:b/>
          <w:bCs/>
          <w:sz w:val="24"/>
          <w:szCs w:val="24"/>
        </w:rPr>
        <w:tab/>
        <w:tab/>
        <w:tab/>
        <w:tab/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instrText> FORMCHECKBOX </w:instrText>
      </w:r>
      <w:r>
        <w:fldChar w:fldCharType="separate"/>
      </w:r>
      <w:bookmarkStart w:id="43" w:name="__Fieldmark__438_2532725485"/>
      <w:bookmarkStart w:id="44" w:name="__Fieldmark__438_2532725485"/>
      <w:bookmarkStart w:id="45" w:name="__Fieldmark__438_2532725485"/>
      <w:bookmarkEnd w:id="45"/>
      <w:r>
        <w:rPr>
          <w:rFonts w:cs="Tahoma"/>
          <w:b/>
          <w:bCs/>
          <w:sz w:val="24"/>
          <w:szCs w:val="24"/>
        </w:rPr>
      </w:r>
      <w: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46" w:name="__Fieldmark__441_2532725485"/>
      <w:bookmarkStart w:id="47" w:name="__Fieldmark__441_2532725485"/>
      <w:bookmarkStart w:id="48" w:name="__Fieldmark__441_2532725485"/>
      <w:bookmarkEnd w:id="48"/>
      <w:r>
        <w:rPr>
          <w:rFonts w:cs="Tahoma"/>
          <w:b/>
          <w:bCs/>
          <w:sz w:val="22"/>
          <w:szCs w:val="22"/>
        </w:rPr>
      </w:r>
      <w: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>
      <w:pPr>
        <w:pStyle w:val="Normal"/>
        <w:numPr>
          <w:ilvl w:val="0"/>
          <w:numId w:val="22"/>
        </w:numPr>
        <w:rPr/>
      </w:pPr>
      <w:r>
        <w:rPr>
          <w:rFonts w:cs="Tahoma"/>
          <w:bCs/>
          <w:sz w:val="24"/>
          <w:szCs w:val="24"/>
        </w:rPr>
        <w:t>dlhodobému finančnému majetku</w:t>
        <w:tab/>
      </w:r>
      <w:r>
        <w:rPr>
          <w:rFonts w:cs="Tahoma"/>
          <w:b/>
          <w:bCs/>
          <w:sz w:val="24"/>
          <w:szCs w:val="24"/>
        </w:rPr>
        <w:tab/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49" w:name="__Fieldmark__450_2532725485"/>
      <w:bookmarkStart w:id="50" w:name="__Fieldmark__450_2532725485"/>
      <w:bookmarkStart w:id="51" w:name="__Fieldmark__450_2532725485"/>
      <w:bookmarkEnd w:id="51"/>
      <w:r>
        <w:rPr>
          <w:rFonts w:cs="Tahoma"/>
          <w:b/>
          <w:bCs/>
          <w:sz w:val="24"/>
          <w:szCs w:val="24"/>
        </w:rPr>
      </w:r>
      <w: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instrText> FORMCHECKBOX </w:instrText>
      </w:r>
      <w:r>
        <w:fldChar w:fldCharType="separate"/>
      </w:r>
      <w:bookmarkStart w:id="52" w:name="__Fieldmark__453_2532725485"/>
      <w:bookmarkStart w:id="53" w:name="__Fieldmark__453_2532725485"/>
      <w:bookmarkStart w:id="54" w:name="__Fieldmark__453_2532725485"/>
      <w:bookmarkEnd w:id="54"/>
      <w:r>
        <w:rPr>
          <w:rFonts w:cs="Tahoma"/>
          <w:b/>
          <w:bCs/>
          <w:sz w:val="22"/>
          <w:szCs w:val="22"/>
        </w:rPr>
      </w:r>
      <w: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>
      <w:pPr>
        <w:pStyle w:val="Normal"/>
        <w:numPr>
          <w:ilvl w:val="0"/>
          <w:numId w:val="22"/>
        </w:numPr>
        <w:rPr/>
      </w:pPr>
      <w:r>
        <w:rPr>
          <w:rFonts w:cs="Tahoma"/>
          <w:bCs/>
          <w:sz w:val="24"/>
          <w:szCs w:val="24"/>
        </w:rPr>
        <w:t xml:space="preserve">zásobám                                     </w:t>
        <w:tab/>
      </w:r>
      <w:r>
        <w:rPr>
          <w:rFonts w:cs="Tahoma"/>
          <w:b/>
          <w:bCs/>
          <w:sz w:val="24"/>
          <w:szCs w:val="24"/>
        </w:rPr>
        <w:tab/>
        <w:tab/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instrText> FORMCHECKBOX </w:instrText>
      </w:r>
      <w:r>
        <w:fldChar w:fldCharType="separate"/>
      </w:r>
      <w:bookmarkStart w:id="55" w:name="__Fieldmark__461_2532725485"/>
      <w:bookmarkStart w:id="56" w:name="__Fieldmark__461_2532725485"/>
      <w:bookmarkStart w:id="57" w:name="__Fieldmark__461_2532725485"/>
      <w:bookmarkEnd w:id="57"/>
      <w:r>
        <w:rPr>
          <w:rFonts w:cs="Tahoma"/>
          <w:b/>
          <w:bCs/>
          <w:sz w:val="24"/>
          <w:szCs w:val="24"/>
        </w:rPr>
      </w:r>
      <w: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58" w:name="__Fieldmark__464_2532725485"/>
      <w:bookmarkStart w:id="59" w:name="__Fieldmark__464_2532725485"/>
      <w:bookmarkStart w:id="60" w:name="__Fieldmark__464_2532725485"/>
      <w:bookmarkEnd w:id="60"/>
      <w:r>
        <w:rPr>
          <w:rFonts w:cs="Tahoma"/>
          <w:b/>
          <w:bCs/>
          <w:sz w:val="22"/>
          <w:szCs w:val="22"/>
        </w:rPr>
      </w:r>
      <w: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>
      <w:pPr>
        <w:pStyle w:val="Normal"/>
        <w:numPr>
          <w:ilvl w:val="0"/>
          <w:numId w:val="22"/>
        </w:numPr>
        <w:rPr/>
      </w:pPr>
      <w:r>
        <w:rPr>
          <w:rFonts w:cs="Tahoma"/>
          <w:bCs/>
          <w:sz w:val="24"/>
          <w:szCs w:val="24"/>
        </w:rPr>
        <w:t xml:space="preserve">pohľadávkam                                     </w:t>
        <w:tab/>
      </w:r>
      <w:r>
        <w:rPr>
          <w:rFonts w:cs="Tahoma"/>
          <w:b/>
          <w:bCs/>
          <w:sz w:val="24"/>
          <w:szCs w:val="24"/>
        </w:rPr>
        <w:tab/>
        <w:tab/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instrText> FORMCHECKBOX </w:instrText>
      </w:r>
      <w:r>
        <w:fldChar w:fldCharType="separate"/>
      </w:r>
      <w:bookmarkStart w:id="61" w:name="__Fieldmark__472_2532725485"/>
      <w:bookmarkStart w:id="62" w:name="__Fieldmark__472_2532725485"/>
      <w:bookmarkStart w:id="63" w:name="__Fieldmark__472_2532725485"/>
      <w:bookmarkEnd w:id="63"/>
      <w:r>
        <w:rPr>
          <w:rFonts w:cs="Tahoma"/>
          <w:b/>
          <w:bCs/>
          <w:sz w:val="24"/>
          <w:szCs w:val="24"/>
        </w:rPr>
      </w:r>
      <w: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64" w:name="__Fieldmark__475_2532725485"/>
      <w:bookmarkStart w:id="65" w:name="__Fieldmark__475_2532725485"/>
      <w:bookmarkStart w:id="66" w:name="__Fieldmark__475_2532725485"/>
      <w:bookmarkEnd w:id="66"/>
      <w:r>
        <w:rPr>
          <w:rFonts w:cs="Tahoma"/>
          <w:b/>
          <w:bCs/>
          <w:sz w:val="22"/>
          <w:szCs w:val="22"/>
        </w:rPr>
      </w:r>
      <w: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>
      <w:pPr>
        <w:pStyle w:val="Telotextu"/>
        <w:ind w:left="0" w:hanging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</w:r>
    </w:p>
    <w:p>
      <w:pPr>
        <w:pStyle w:val="Telotextu"/>
        <w:ind w:left="0" w:hanging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</w:r>
    </w:p>
    <w:p>
      <w:pPr>
        <w:pStyle w:val="Telotextu"/>
        <w:ind w:left="0" w:hanging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</w:r>
    </w:p>
    <w:p>
      <w:pPr>
        <w:pStyle w:val="Telotextu"/>
        <w:ind w:left="0" w:hanging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hlavnej činnosti,</w:t>
      </w:r>
      <w:r>
        <w:rPr>
          <w:color w:val="000000"/>
          <w:sz w:val="24"/>
          <w:szCs w:val="24"/>
        </w:rPr>
        <w:t xml:space="preserve"> pri ktorých je riziko, že ich dlžník úplne </w:t>
      </w:r>
      <w:r>
        <w:rPr>
          <w:sz w:val="24"/>
          <w:szCs w:val="24"/>
        </w:rPr>
        <w:t>alebo</w:t>
      </w:r>
      <w:r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Informácie odporúčam čerpať z vnútorného predpisu účtovnej jednotky. </w:t>
      </w:r>
    </w:p>
    <w:p>
      <w:pPr>
        <w:pStyle w:val="Normal"/>
        <w:jc w:val="both"/>
        <w:rPr>
          <w:rFonts w:cs="Tahoma"/>
          <w:bCs/>
          <w:color w:val="FF0000"/>
          <w:sz w:val="22"/>
          <w:szCs w:val="22"/>
        </w:rPr>
      </w:pPr>
      <w:r>
        <w:rPr>
          <w:rFonts w:cs="Tahoma"/>
          <w:bCs/>
          <w:color w:val="FF0000"/>
          <w:sz w:val="22"/>
          <w:szCs w:val="22"/>
        </w:rPr>
      </w:r>
    </w:p>
    <w:tbl>
      <w:tblPr>
        <w:tblW w:w="9180" w:type="dxa"/>
        <w:jc w:val="left"/>
        <w:tblInd w:w="10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1340"/>
        <w:gridCol w:w="7839"/>
      </w:tblGrid>
      <w:tr>
        <w:trPr/>
        <w:tc>
          <w:tcPr>
            <w:tcW w:w="1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1-365</w:t>
            </w:r>
          </w:p>
        </w:tc>
        <w:tc>
          <w:tcPr>
            <w:tcW w:w="78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najviac do výšky   50  % menovitej hodnoty pohľadávky bez príslušenstva </w:t>
            </w:r>
          </w:p>
        </w:tc>
      </w:tr>
      <w:tr>
        <w:trPr/>
        <w:tc>
          <w:tcPr>
            <w:tcW w:w="1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366-730</w:t>
            </w:r>
          </w:p>
        </w:tc>
        <w:tc>
          <w:tcPr>
            <w:tcW w:w="78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najviac do výšky   50    % menovitej hodnoty pohľadávky bez príslušenstva</w:t>
            </w:r>
          </w:p>
        </w:tc>
      </w:tr>
      <w:tr>
        <w:trPr/>
        <w:tc>
          <w:tcPr>
            <w:tcW w:w="1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730</w:t>
            </w:r>
          </w:p>
        </w:tc>
        <w:tc>
          <w:tcPr>
            <w:tcW w:w="78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najviac do výšky 100   % menovitej hodnoty pohľadávky bez príslušenstva</w:t>
            </w:r>
          </w:p>
        </w:tc>
      </w:tr>
    </w:tbl>
    <w:p>
      <w:pPr>
        <w:pStyle w:val="Telotextu"/>
        <w:ind w:left="0" w:hanging="0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</w:r>
    </w:p>
    <w:p>
      <w:pPr>
        <w:pStyle w:val="Telotextu"/>
        <w:ind w:left="0" w:hanging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>
        <w:rPr>
          <w:color w:val="000000"/>
          <w:sz w:val="24"/>
          <w:szCs w:val="24"/>
        </w:rPr>
        <w:t xml:space="preserve">, podľa ustanovenia § 20  zákona č.595/2003 Z.z. o dani z príjmov v z.n.p.. </w:t>
      </w:r>
    </w:p>
    <w:p>
      <w:pPr>
        <w:pStyle w:val="Telotextu"/>
        <w:ind w:left="0" w:hanging="0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</w:r>
    </w:p>
    <w:p>
      <w:pPr>
        <w:pStyle w:val="Normal"/>
        <w:numPr>
          <w:ilvl w:val="0"/>
          <w:numId w:val="3"/>
        </w:numPr>
        <w:tabs>
          <w:tab w:val="left" w:pos="284" w:leader="none"/>
        </w:tabs>
        <w:ind w:left="284" w:hanging="284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>
      <w:pPr>
        <w:pStyle w:val="Normal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</w:p>
    <w:p>
      <w:pPr>
        <w:pStyle w:val="Normal"/>
        <w:numPr>
          <w:ilvl w:val="0"/>
          <w:numId w:val="2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>- sa  zúčtuje do výnosov  vo vecnej a časovej súvislosti s nákladmi</w:t>
      </w:r>
    </w:p>
    <w:p>
      <w:pPr>
        <w:pStyle w:val="Normal"/>
        <w:numPr>
          <w:ilvl w:val="0"/>
          <w:numId w:val="2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>
      <w:pPr>
        <w:pStyle w:val="Normal"/>
        <w:numPr>
          <w:ilvl w:val="0"/>
          <w:numId w:val="2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>
      <w:pPr>
        <w:pStyle w:val="Normal"/>
        <w:numPr>
          <w:ilvl w:val="0"/>
          <w:numId w:val="2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>
      <w:pPr>
        <w:pStyle w:val="Normal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</w:p>
    <w:p>
      <w:pPr>
        <w:pStyle w:val="Normal"/>
        <w:numPr>
          <w:ilvl w:val="0"/>
          <w:numId w:val="2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</w:t>
      </w:r>
    </w:p>
    <w:p>
      <w:pPr>
        <w:pStyle w:val="Normal"/>
        <w:numPr>
          <w:ilvl w:val="0"/>
          <w:numId w:val="2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</w:t>
      </w:r>
    </w:p>
    <w:p>
      <w:pPr>
        <w:pStyle w:val="Normal"/>
        <w:numPr>
          <w:ilvl w:val="0"/>
          <w:numId w:val="2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</w:t>
      </w:r>
    </w:p>
    <w:p>
      <w:pPr>
        <w:pStyle w:val="Normal"/>
        <w:numPr>
          <w:ilvl w:val="0"/>
          <w:numId w:val="2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>
      <w:pPr>
        <w:pStyle w:val="Normal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3"/>
        </w:numPr>
        <w:tabs>
          <w:tab w:val="left" w:pos="284" w:leader="none"/>
        </w:tabs>
        <w:ind w:left="284" w:hanging="284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>
      <w:pPr>
        <w:pStyle w:val="Telotextu"/>
        <w:ind w:left="0" w:hanging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>
      <w:pPr>
        <w:pStyle w:val="Telotextu"/>
        <w:ind w:left="0" w:hanging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>
      <w:pPr>
        <w:pStyle w:val="Telotextu"/>
        <w:ind w:left="0" w:hanging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>
      <w:pPr>
        <w:pStyle w:val="Telotextu"/>
        <w:ind w:left="0" w:hanging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>
      <w:pPr>
        <w:pStyle w:val="Telotextu"/>
        <w:ind w:left="0" w:hanging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>
      <w:pPr>
        <w:pStyle w:val="Telotextu"/>
        <w:ind w:left="0" w:hanging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predané.Ku dňu, ku ktorému sa zostavuje účtovná závierka, sa už neprepočítavajú. </w:t>
      </w:r>
    </w:p>
    <w:p>
      <w:pPr>
        <w:pStyle w:val="Telotextu"/>
        <w:ind w:left="0" w:hanging="0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Telotextu"/>
        <w:ind w:left="0" w:hanging="0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Telotextu"/>
        <w:ind w:left="0" w:hanging="0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>
      <w:pPr>
        <w:pStyle w:val="Pismenka"/>
        <w:ind w:left="425" w:hanging="425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Pismenka"/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>
      <w:pPr>
        <w:pStyle w:val="Normal"/>
        <w:numPr>
          <w:ilvl w:val="0"/>
          <w:numId w:val="5"/>
        </w:numPr>
        <w:tabs>
          <w:tab w:val="left" w:pos="284" w:leader="none"/>
        </w:tabs>
        <w:ind w:left="284" w:hanging="284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>
      <w:pPr>
        <w:pStyle w:val="Pismenka"/>
        <w:numPr>
          <w:ilvl w:val="0"/>
          <w:numId w:val="6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false"/>
          <w:sz w:val="24"/>
          <w:szCs w:val="24"/>
        </w:rPr>
        <w:t>(tabuľka č.1)</w:t>
      </w:r>
    </w:p>
    <w:p>
      <w:pPr>
        <w:pStyle w:val="Pismenka"/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Textová časť k tabuľke č.1  </w:t>
      </w:r>
    </w:p>
    <w:p>
      <w:pPr>
        <w:pStyle w:val="Pismenka"/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color w:val="FF0000"/>
          <w:sz w:val="24"/>
          <w:szCs w:val="24"/>
        </w:rPr>
        <w:t>-</w:t>
      </w:r>
      <w:r>
        <w:rPr>
          <w:b w:val="false"/>
          <w:sz w:val="24"/>
          <w:szCs w:val="24"/>
        </w:rPr>
        <w:t xml:space="preserve">Uvedú sa informácie, ktoré </w:t>
      </w:r>
      <w:r>
        <w:rPr>
          <w:b w:val="false"/>
          <w:sz w:val="24"/>
          <w:szCs w:val="24"/>
          <w:u w:val="single"/>
        </w:rPr>
        <w:t>významným</w:t>
      </w:r>
      <w:r>
        <w:rPr>
          <w:b w:val="false"/>
          <w:sz w:val="24"/>
          <w:szCs w:val="24"/>
        </w:rPr>
        <w:t xml:space="preserve"> spôsobom ovplyvňujú pohľad na účtovnú závierku. </w:t>
      </w:r>
    </w:p>
    <w:p>
      <w:pPr>
        <w:pStyle w:val="Pismenka"/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  </w:t>
      </w:r>
      <w:r>
        <w:rPr>
          <w:b w:val="false"/>
          <w:sz w:val="24"/>
          <w:szCs w:val="24"/>
        </w:rPr>
        <w:t>V tabuľke č.1 je vykázaný úbytok na účte 011 v sume 5 669,22 EUR.</w:t>
      </w:r>
    </w:p>
    <w:p>
      <w:pPr>
        <w:pStyle w:val="Pismenka"/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numPr>
          <w:ilvl w:val="0"/>
          <w:numId w:val="6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false"/>
          <w:sz w:val="24"/>
          <w:szCs w:val="24"/>
        </w:rPr>
        <w:t xml:space="preserve">dlhodobého nehmotného majetku a dlhodobého hmotného majetku </w:t>
      </w:r>
    </w:p>
    <w:p>
      <w:pPr>
        <w:pStyle w:val="Pismenka"/>
        <w:ind w:left="284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tbl>
      <w:tblPr>
        <w:tblW w:w="9180" w:type="dxa"/>
        <w:jc w:val="left"/>
        <w:tblInd w:w="10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87"/>
        <w:gridCol w:w="3190"/>
        <w:gridCol w:w="2803"/>
      </w:tblGrid>
      <w:tr>
        <w:trPr/>
        <w:tc>
          <w:tcPr>
            <w:tcW w:w="31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Druh poisteného majetku </w:t>
            </w:r>
          </w:p>
        </w:tc>
        <w:tc>
          <w:tcPr>
            <w:tcW w:w="31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Spôsob poistenia, </w:t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hodnota poisteného majetku </w:t>
            </w:r>
          </w:p>
        </w:tc>
        <w:tc>
          <w:tcPr>
            <w:tcW w:w="2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Výška poistenia</w:t>
            </w:r>
          </w:p>
        </w:tc>
      </w:tr>
      <w:tr>
        <w:trPr/>
        <w:tc>
          <w:tcPr>
            <w:tcW w:w="31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/>
            </w:pPr>
            <w:r>
              <w:rPr/>
              <w:t>Dlhodobý hmotný majetok</w:t>
            </w:r>
          </w:p>
        </w:tc>
        <w:tc>
          <w:tcPr>
            <w:tcW w:w="31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/>
            </w:pPr>
            <w:r>
              <w:rPr/>
              <w:t>Komunálna poisťovňa</w:t>
            </w:r>
          </w:p>
        </w:tc>
        <w:tc>
          <w:tcPr>
            <w:tcW w:w="2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right"/>
              <w:rPr/>
            </w:pPr>
            <w:r>
              <w:rPr/>
              <w:t>158,06</w:t>
            </w:r>
          </w:p>
        </w:tc>
      </w:tr>
      <w:tr>
        <w:trPr/>
        <w:tc>
          <w:tcPr>
            <w:tcW w:w="31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31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2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31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31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2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31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31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2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31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31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2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</w:tbl>
    <w:p>
      <w:pPr>
        <w:pStyle w:val="Normal"/>
        <w:ind w:left="426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</w:r>
    </w:p>
    <w:p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jc w:val="left"/>
        <w:tblInd w:w="10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5220"/>
        <w:gridCol w:w="4985"/>
      </w:tblGrid>
      <w:tr>
        <w:trPr/>
        <w:tc>
          <w:tcPr>
            <w:tcW w:w="52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Majetok, </w:t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/>
              <w:t>ku ktorému</w:t>
            </w:r>
            <w:r>
              <w:rPr>
                <w:b/>
              </w:rPr>
              <w:t>má</w:t>
            </w:r>
            <w:r>
              <w:rPr/>
              <w:t xml:space="preserve"> účtovná jednotka vlastnícke právo</w:t>
            </w:r>
          </w:p>
        </w:tc>
        <w:tc>
          <w:tcPr>
            <w:tcW w:w="4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>
        <w:trPr/>
        <w:tc>
          <w:tcPr>
            <w:tcW w:w="52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/>
            </w:pPr>
            <w:r>
              <w:rPr/>
              <w:t>Pozemky</w:t>
            </w:r>
          </w:p>
        </w:tc>
        <w:tc>
          <w:tcPr>
            <w:tcW w:w="4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right"/>
              <w:rPr/>
            </w:pPr>
            <w:r>
              <w:rPr/>
              <w:t>3 286,20</w:t>
            </w:r>
          </w:p>
        </w:tc>
      </w:tr>
      <w:tr>
        <w:trPr/>
        <w:tc>
          <w:tcPr>
            <w:tcW w:w="52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/>
            </w:pPr>
            <w:r>
              <w:rPr/>
              <w:t>Budovy, stavby</w:t>
            </w:r>
          </w:p>
        </w:tc>
        <w:tc>
          <w:tcPr>
            <w:tcW w:w="4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right"/>
              <w:rPr/>
            </w:pPr>
            <w:r>
              <w:rPr/>
              <w:t>10 538,98</w:t>
            </w:r>
          </w:p>
        </w:tc>
      </w:tr>
      <w:tr>
        <w:trPr/>
        <w:tc>
          <w:tcPr>
            <w:tcW w:w="52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/>
            </w:pPr>
            <w:r>
              <w:rPr/>
              <w:t>Stroje, prístroje, zariadenia, inventár</w:t>
            </w:r>
          </w:p>
        </w:tc>
        <w:tc>
          <w:tcPr>
            <w:tcW w:w="4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right"/>
              <w:rPr/>
            </w:pPr>
            <w:r>
              <w:rPr/>
              <w:t>0,00</w:t>
            </w:r>
          </w:p>
        </w:tc>
      </w:tr>
    </w:tbl>
    <w:p>
      <w:pPr>
        <w:pStyle w:val="Pismenka"/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Normal"/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ind w:left="2520" w:hanging="2520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B Obežný majetok </w:t>
      </w:r>
    </w:p>
    <w:p>
      <w:pPr>
        <w:pStyle w:val="Normal"/>
        <w:ind w:left="2520" w:hanging="2520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8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>
      <w:pPr>
        <w:pStyle w:val="Pismenka"/>
        <w:numPr>
          <w:ilvl w:val="0"/>
          <w:numId w:val="7"/>
        </w:numPr>
        <w:ind w:left="284" w:hanging="284"/>
        <w:jc w:val="left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vývoj </w:t>
      </w:r>
      <w:r>
        <w:rPr>
          <w:sz w:val="24"/>
          <w:szCs w:val="24"/>
        </w:rPr>
        <w:t>opravnej položky</w:t>
      </w:r>
      <w:r>
        <w:rPr>
          <w:b w:val="false"/>
          <w:sz w:val="24"/>
          <w:szCs w:val="24"/>
        </w:rPr>
        <w:t xml:space="preserve"> k zásobám- tabuľka č.2</w:t>
      </w:r>
    </w:p>
    <w:p>
      <w:pPr>
        <w:pStyle w:val="Pismenka"/>
        <w:ind w:left="0" w:hanging="0"/>
        <w:jc w:val="left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Textová časť k tabuľke č.2  .............................................................................................................................</w:t>
      </w:r>
    </w:p>
    <w:p>
      <w:pPr>
        <w:pStyle w:val="Pismenka"/>
        <w:ind w:left="425" w:hanging="425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>
      <w:pPr>
        <w:pStyle w:val="Pismenka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Opis dôvodov </w:t>
      </w:r>
      <w:r>
        <w:rPr>
          <w:sz w:val="24"/>
          <w:szCs w:val="24"/>
        </w:rPr>
        <w:t>tvorby, zníženia a zrušenia</w:t>
      </w:r>
      <w:r>
        <w:rPr>
          <w:b w:val="false"/>
          <w:sz w:val="24"/>
          <w:szCs w:val="24"/>
        </w:rPr>
        <w:t xml:space="preserve"> opravných položiek k zásobám </w:t>
      </w:r>
    </w:p>
    <w:tbl>
      <w:tblPr>
        <w:tblW w:w="10206" w:type="dxa"/>
        <w:jc w:val="left"/>
        <w:tblInd w:w="10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3186"/>
        <w:gridCol w:w="2084"/>
        <w:gridCol w:w="4936"/>
      </w:tblGrid>
      <w:tr>
        <w:trPr/>
        <w:tc>
          <w:tcPr>
            <w:tcW w:w="31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Konkrétny druh zásob</w:t>
            </w:r>
          </w:p>
        </w:tc>
        <w:tc>
          <w:tcPr>
            <w:tcW w:w="20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Dôvod tvorby, zníženia a zrušenia OP</w:t>
            </w:r>
          </w:p>
        </w:tc>
      </w:tr>
      <w:tr>
        <w:trPr/>
        <w:tc>
          <w:tcPr>
            <w:tcW w:w="31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/>
            </w:pPr>
            <w:r>
              <w:rPr/>
            </w:r>
          </w:p>
        </w:tc>
        <w:tc>
          <w:tcPr>
            <w:tcW w:w="20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/>
            </w:pPr>
            <w:r>
              <w:rPr/>
            </w:r>
          </w:p>
        </w:tc>
        <w:tc>
          <w:tcPr>
            <w:tcW w:w="4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/>
            </w:pPr>
            <w:r>
              <w:rPr/>
            </w:r>
          </w:p>
        </w:tc>
      </w:tr>
      <w:tr>
        <w:trPr/>
        <w:tc>
          <w:tcPr>
            <w:tcW w:w="31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/>
            </w:pPr>
            <w:r>
              <w:rPr/>
            </w:r>
          </w:p>
        </w:tc>
        <w:tc>
          <w:tcPr>
            <w:tcW w:w="20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/>
            </w:pPr>
            <w:r>
              <w:rPr/>
            </w:r>
          </w:p>
        </w:tc>
        <w:tc>
          <w:tcPr>
            <w:tcW w:w="4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/>
            </w:pPr>
            <w:r>
              <w:rPr/>
            </w:r>
          </w:p>
        </w:tc>
      </w:tr>
      <w:tr>
        <w:trPr/>
        <w:tc>
          <w:tcPr>
            <w:tcW w:w="31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/>
            </w:pPr>
            <w:r>
              <w:rPr/>
            </w:r>
          </w:p>
        </w:tc>
        <w:tc>
          <w:tcPr>
            <w:tcW w:w="20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/>
            </w:pPr>
            <w:r>
              <w:rPr/>
            </w:r>
          </w:p>
        </w:tc>
        <w:tc>
          <w:tcPr>
            <w:tcW w:w="4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/>
            </w:pPr>
            <w:r>
              <w:rPr/>
            </w:r>
          </w:p>
        </w:tc>
      </w:tr>
      <w:tr>
        <w:trPr/>
        <w:tc>
          <w:tcPr>
            <w:tcW w:w="31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/>
            </w:pPr>
            <w:r>
              <w:rPr/>
            </w:r>
          </w:p>
        </w:tc>
        <w:tc>
          <w:tcPr>
            <w:tcW w:w="20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/>
            </w:pPr>
            <w:r>
              <w:rPr/>
            </w:r>
          </w:p>
        </w:tc>
        <w:tc>
          <w:tcPr>
            <w:tcW w:w="4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/>
            </w:pPr>
            <w:r>
              <w:rPr/>
            </w:r>
          </w:p>
        </w:tc>
      </w:tr>
    </w:tbl>
    <w:p>
      <w:pPr>
        <w:pStyle w:val="Pismenka"/>
        <w:ind w:left="284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Normal"/>
        <w:ind w:left="284" w:hanging="0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8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Pohľadávky </w:t>
      </w:r>
    </w:p>
    <w:p>
      <w:pPr>
        <w:pStyle w:val="Pismenka"/>
        <w:numPr>
          <w:ilvl w:val="0"/>
          <w:numId w:val="9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false"/>
          <w:sz w:val="24"/>
          <w:szCs w:val="24"/>
        </w:rPr>
        <w:t xml:space="preserve"> podľa jednotlivých položiek súvahy </w:t>
      </w:r>
    </w:p>
    <w:p>
      <w:pPr>
        <w:pStyle w:val="Pismenka"/>
        <w:ind w:left="0" w:hanging="0"/>
        <w:rPr>
          <w:b w:val="false"/>
          <w:b w:val="false"/>
          <w:color w:val="FF0000"/>
          <w:sz w:val="24"/>
          <w:szCs w:val="24"/>
        </w:rPr>
      </w:pPr>
      <w:r>
        <w:rPr>
          <w:b w:val="false"/>
          <w:color w:val="FF0000"/>
          <w:sz w:val="24"/>
          <w:szCs w:val="24"/>
        </w:rPr>
        <w:t xml:space="preserve">.  </w:t>
      </w:r>
    </w:p>
    <w:tbl>
      <w:tblPr>
        <w:tblW w:w="10161" w:type="dxa"/>
        <w:jc w:val="left"/>
        <w:tblInd w:w="7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2758"/>
        <w:gridCol w:w="870"/>
        <w:gridCol w:w="1596"/>
        <w:gridCol w:w="1598"/>
        <w:gridCol w:w="3339"/>
      </w:tblGrid>
      <w:tr>
        <w:trPr>
          <w:trHeight w:val="418" w:hRule="atLeast"/>
        </w:trPr>
        <w:tc>
          <w:tcPr>
            <w:tcW w:w="27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70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70" w:type="dxa"/>
            </w:tcMar>
          </w:tcPr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70" w:type="dxa"/>
            </w:tcMar>
          </w:tcPr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Hodnota </w:t>
            </w:r>
          </w:p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70" w:type="dxa"/>
            </w:tcMar>
          </w:tcPr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Hodnota </w:t>
            </w:r>
          </w:p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70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Opis</w:t>
            </w:r>
          </w:p>
        </w:tc>
      </w:tr>
      <w:tr>
        <w:trPr>
          <w:trHeight w:val="261" w:hRule="atLeast"/>
        </w:trPr>
        <w:tc>
          <w:tcPr>
            <w:tcW w:w="27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  <w:t>Daňové príjmy</w:t>
            </w:r>
          </w:p>
        </w:tc>
        <w:tc>
          <w:tcPr>
            <w:tcW w:w="8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69</w:t>
            </w:r>
          </w:p>
        </w:tc>
        <w:tc>
          <w:tcPr>
            <w:tcW w:w="1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828,82</w:t>
            </w:r>
          </w:p>
        </w:tc>
        <w:tc>
          <w:tcPr>
            <w:tcW w:w="15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828,82</w:t>
            </w:r>
          </w:p>
        </w:tc>
        <w:tc>
          <w:tcPr>
            <w:tcW w:w="3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both"/>
              <w:rPr/>
            </w:pPr>
            <w:r>
              <w:rPr/>
              <w:t>Miestne dane</w:t>
            </w:r>
          </w:p>
        </w:tc>
      </w:tr>
      <w:tr>
        <w:trPr>
          <w:trHeight w:val="261" w:hRule="atLeast"/>
        </w:trPr>
        <w:tc>
          <w:tcPr>
            <w:tcW w:w="27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  <w:t>Nedaňové príjmy</w:t>
            </w:r>
          </w:p>
        </w:tc>
        <w:tc>
          <w:tcPr>
            <w:tcW w:w="8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68</w:t>
            </w:r>
          </w:p>
        </w:tc>
        <w:tc>
          <w:tcPr>
            <w:tcW w:w="1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123,95</w:t>
            </w:r>
          </w:p>
        </w:tc>
        <w:tc>
          <w:tcPr>
            <w:tcW w:w="15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123,95</w:t>
            </w:r>
          </w:p>
        </w:tc>
        <w:tc>
          <w:tcPr>
            <w:tcW w:w="3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both"/>
              <w:rPr/>
            </w:pPr>
            <w:r>
              <w:rPr/>
              <w:t xml:space="preserve">Pohľadávky z nedaňových </w:t>
            </w:r>
          </w:p>
        </w:tc>
      </w:tr>
      <w:tr>
        <w:trPr>
          <w:trHeight w:val="261" w:hRule="atLeast"/>
        </w:trPr>
        <w:tc>
          <w:tcPr>
            <w:tcW w:w="27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8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1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15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both"/>
              <w:rPr/>
            </w:pPr>
            <w:r>
              <w:rPr/>
            </w:r>
          </w:p>
        </w:tc>
        <w:tc>
          <w:tcPr>
            <w:tcW w:w="3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both"/>
              <w:rPr/>
            </w:pPr>
            <w:r>
              <w:rPr/>
            </w:r>
          </w:p>
        </w:tc>
      </w:tr>
      <w:tr>
        <w:trPr>
          <w:trHeight w:val="261" w:hRule="atLeast"/>
        </w:trPr>
        <w:tc>
          <w:tcPr>
            <w:tcW w:w="27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8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1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15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both"/>
              <w:rPr/>
            </w:pPr>
            <w:r>
              <w:rPr/>
            </w:r>
          </w:p>
        </w:tc>
        <w:tc>
          <w:tcPr>
            <w:tcW w:w="3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both"/>
              <w:rPr/>
            </w:pPr>
            <w:r>
              <w:rPr/>
            </w:r>
          </w:p>
        </w:tc>
      </w:tr>
      <w:tr>
        <w:trPr>
          <w:trHeight w:val="261" w:hRule="atLeast"/>
        </w:trPr>
        <w:tc>
          <w:tcPr>
            <w:tcW w:w="27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8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>
                <w:b/>
                <w:b/>
              </w:rPr>
            </w:pPr>
            <w:r>
              <w:rPr>
                <w:b/>
              </w:rPr>
            </w:r>
          </w:p>
        </w:tc>
        <w:tc>
          <w:tcPr>
            <w:tcW w:w="1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>
                <w:b/>
                <w:b/>
              </w:rPr>
            </w:pPr>
            <w:r>
              <w:rPr>
                <w:b/>
              </w:rPr>
            </w:r>
          </w:p>
        </w:tc>
        <w:tc>
          <w:tcPr>
            <w:tcW w:w="15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both"/>
              <w:rPr>
                <w:b/>
                <w:b/>
              </w:rPr>
            </w:pPr>
            <w:r>
              <w:rPr>
                <w:b/>
              </w:rPr>
            </w:r>
          </w:p>
        </w:tc>
        <w:tc>
          <w:tcPr>
            <w:tcW w:w="3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both"/>
              <w:rPr>
                <w:b/>
                <w:b/>
              </w:rPr>
            </w:pPr>
            <w:r>
              <w:rPr>
                <w:b/>
              </w:rPr>
            </w:r>
          </w:p>
        </w:tc>
      </w:tr>
    </w:tbl>
    <w:p>
      <w:pPr>
        <w:pStyle w:val="Pismenka"/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numPr>
          <w:ilvl w:val="0"/>
          <w:numId w:val="9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vývoj opravnej položky</w:t>
      </w:r>
      <w:r>
        <w:rPr>
          <w:b w:val="false"/>
          <w:sz w:val="24"/>
          <w:szCs w:val="24"/>
        </w:rPr>
        <w:t xml:space="preserve"> k pohľadávkam - tabuľka č.3</w:t>
      </w:r>
    </w:p>
    <w:p>
      <w:pPr>
        <w:pStyle w:val="Pismenka"/>
        <w:ind w:left="0" w:hanging="0"/>
        <w:jc w:val="left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Textová časť k tabuľke č.3  .............................................................................................................................</w:t>
      </w:r>
    </w:p>
    <w:p>
      <w:pPr>
        <w:pStyle w:val="Pismenka"/>
        <w:ind w:left="425" w:hanging="425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>
      <w:pPr>
        <w:pStyle w:val="Pismenka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Opis dôvodov </w:t>
      </w:r>
      <w:r>
        <w:rPr>
          <w:sz w:val="24"/>
          <w:szCs w:val="24"/>
        </w:rPr>
        <w:t>tvorby, zníženia a zrušenia</w:t>
      </w:r>
      <w:r>
        <w:rPr>
          <w:b w:val="false"/>
          <w:sz w:val="24"/>
          <w:szCs w:val="24"/>
        </w:rPr>
        <w:t xml:space="preserve"> opravných položiek k pohľadávkam </w:t>
      </w:r>
    </w:p>
    <w:p>
      <w:pPr>
        <w:pStyle w:val="Pismenka"/>
        <w:ind w:left="0" w:hanging="0"/>
        <w:rPr>
          <w:b w:val="false"/>
          <w:b w:val="false"/>
          <w:color w:val="FF0000"/>
          <w:sz w:val="24"/>
          <w:szCs w:val="24"/>
        </w:rPr>
      </w:pPr>
      <w:r>
        <w:rPr>
          <w:b w:val="false"/>
          <w:color w:val="FF0000"/>
          <w:sz w:val="24"/>
          <w:szCs w:val="24"/>
        </w:rPr>
      </w:r>
    </w:p>
    <w:tbl>
      <w:tblPr>
        <w:tblW w:w="10314" w:type="dxa"/>
        <w:jc w:val="left"/>
        <w:tblInd w:w="10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2268"/>
        <w:gridCol w:w="1133"/>
        <w:gridCol w:w="851"/>
        <w:gridCol w:w="850"/>
        <w:gridCol w:w="851"/>
        <w:gridCol w:w="1133"/>
        <w:gridCol w:w="3227"/>
      </w:tblGrid>
      <w:tr>
        <w:trPr/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Pohľadávky, ku ktorým bola tvorená opravná položka</w:t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 k 31.12.2022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Zvýšenie </w:t>
            </w:r>
          </w:p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Zníženie </w:t>
            </w:r>
          </w:p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Zrušenie</w:t>
            </w:r>
          </w:p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31.12.2023</w:t>
            </w:r>
          </w:p>
        </w:tc>
        <w:tc>
          <w:tcPr>
            <w:tcW w:w="32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Dôvod zvýšenie, zníženia a zrušenia OP</w:t>
            </w:r>
          </w:p>
        </w:tc>
      </w:tr>
      <w:tr>
        <w:trPr/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right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32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color w:val="FF0000"/>
              </w:rPr>
            </w:pPr>
            <w:r>
              <w:rPr>
                <w:color w:val="FF0000"/>
              </w:rPr>
            </w:r>
          </w:p>
        </w:tc>
      </w:tr>
      <w:tr>
        <w:trPr/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right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32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color w:val="FF0000"/>
              </w:rPr>
            </w:pPr>
            <w:r>
              <w:rPr>
                <w:color w:val="FF0000"/>
              </w:rPr>
            </w:r>
          </w:p>
        </w:tc>
      </w:tr>
      <w:tr>
        <w:trPr/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right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32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color w:val="FF0000"/>
              </w:rPr>
            </w:pPr>
            <w:r>
              <w:rPr>
                <w:color w:val="FF0000"/>
              </w:rPr>
            </w:r>
          </w:p>
        </w:tc>
      </w:tr>
      <w:tr>
        <w:trPr/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right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32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color w:val="FF0000"/>
              </w:rPr>
            </w:pPr>
            <w:r>
              <w:rPr>
                <w:color w:val="FF0000"/>
              </w:rPr>
            </w:r>
          </w:p>
        </w:tc>
      </w:tr>
    </w:tbl>
    <w:p>
      <w:pPr>
        <w:pStyle w:val="Pismenka"/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numPr>
          <w:ilvl w:val="0"/>
          <w:numId w:val="9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false"/>
          <w:sz w:val="24"/>
          <w:szCs w:val="24"/>
        </w:rPr>
        <w:t>(riadky 048 a 060 súvahy) - tabuľka č.4</w:t>
      </w:r>
    </w:p>
    <w:p>
      <w:pPr>
        <w:pStyle w:val="Pismenka"/>
        <w:ind w:left="0" w:hanging="0"/>
        <w:jc w:val="left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Textová časť k tabuľke č.4 .............................................................................................................................</w:t>
      </w:r>
    </w:p>
    <w:p>
      <w:pPr>
        <w:pStyle w:val="Pismenka"/>
        <w:ind w:left="425" w:hanging="425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>
      <w:pPr>
        <w:pStyle w:val="Pismenka"/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>
      <w:pPr>
        <w:pStyle w:val="Pismenka"/>
        <w:ind w:left="284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ind w:left="284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tbl>
      <w:tblPr>
        <w:tblW w:w="10064" w:type="dxa"/>
        <w:jc w:val="left"/>
        <w:tblInd w:w="7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4394"/>
        <w:gridCol w:w="1417"/>
        <w:gridCol w:w="1418"/>
        <w:gridCol w:w="2834"/>
      </w:tblGrid>
      <w:tr>
        <w:trPr/>
        <w:tc>
          <w:tcPr>
            <w:tcW w:w="4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70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70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Zostatok k 31.12.2022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70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Zostatok k 31.12.2023</w:t>
            </w:r>
          </w:p>
        </w:tc>
        <w:tc>
          <w:tcPr>
            <w:tcW w:w="28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70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Z toho pohľadávky po lehote splatnosti </w:t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suma, popis </w:t>
            </w:r>
          </w:p>
        </w:tc>
      </w:tr>
      <w:tr>
        <w:trPr/>
        <w:tc>
          <w:tcPr>
            <w:tcW w:w="4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>
                <w:b/>
                <w:b/>
              </w:rPr>
            </w:pPr>
            <w:r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0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0</w:t>
            </w:r>
          </w:p>
        </w:tc>
        <w:tc>
          <w:tcPr>
            <w:tcW w:w="28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4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numPr>
                <w:ilvl w:val="0"/>
                <w:numId w:val="27"/>
              </w:numPr>
              <w:ind w:left="214" w:hanging="142"/>
              <w:rPr/>
            </w:pPr>
            <w:r>
              <w:rPr/>
              <w:t>pohľadávky z predaja majetku .......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28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4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ind w:left="678" w:hanging="0"/>
              <w:rPr/>
            </w:pPr>
            <w:r>
              <w:rPr/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28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4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>
                <w:b/>
                <w:b/>
              </w:rPr>
            </w:pPr>
            <w:r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28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4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numPr>
                <w:ilvl w:val="0"/>
                <w:numId w:val="27"/>
              </w:numPr>
              <w:ind w:left="214" w:hanging="142"/>
              <w:rPr/>
            </w:pPr>
            <w:r>
              <w:rPr/>
              <w:t>pohľadávky na dani z nehnuteľnosti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tabs>
                <w:tab w:val="center" w:pos="639" w:leader="none"/>
                <w:tab w:val="right" w:pos="1278" w:leader="none"/>
              </w:tabs>
              <w:rPr/>
            </w:pPr>
            <w:r>
              <w:rPr/>
              <w:tab/>
              <w:tab/>
              <w:t>166,16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tabs>
                <w:tab w:val="center" w:pos="639" w:leader="none"/>
                <w:tab w:val="right" w:pos="1278" w:leader="none"/>
              </w:tabs>
              <w:jc w:val="right"/>
              <w:rPr/>
            </w:pPr>
            <w:r>
              <w:rPr/>
              <w:t>828,82</w:t>
            </w:r>
          </w:p>
        </w:tc>
        <w:tc>
          <w:tcPr>
            <w:tcW w:w="28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0,00  po lehote splatnosti</w:t>
            </w:r>
          </w:p>
        </w:tc>
      </w:tr>
      <w:tr>
        <w:trPr/>
        <w:tc>
          <w:tcPr>
            <w:tcW w:w="4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numPr>
                <w:ilvl w:val="0"/>
                <w:numId w:val="27"/>
              </w:numPr>
              <w:ind w:left="214" w:hanging="142"/>
              <w:rPr/>
            </w:pPr>
            <w:r>
              <w:rPr/>
              <w:t>pohľadávky za KO a DSO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235,00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123,95</w:t>
            </w:r>
          </w:p>
        </w:tc>
        <w:tc>
          <w:tcPr>
            <w:tcW w:w="28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0,00  po lehote splatnosti</w:t>
            </w:r>
          </w:p>
        </w:tc>
      </w:tr>
      <w:tr>
        <w:trPr/>
        <w:tc>
          <w:tcPr>
            <w:tcW w:w="4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numPr>
                <w:ilvl w:val="0"/>
                <w:numId w:val="27"/>
              </w:numPr>
              <w:ind w:left="214" w:hanging="142"/>
              <w:rPr/>
            </w:pPr>
            <w:r>
              <w:rPr/>
              <w:t xml:space="preserve">pohľadávky za nájom  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0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28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4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numPr>
                <w:ilvl w:val="0"/>
                <w:numId w:val="27"/>
              </w:numPr>
              <w:ind w:left="214" w:hanging="142"/>
              <w:rPr/>
            </w:pPr>
            <w:r>
              <w:rPr/>
              <w:t xml:space="preserve">pohľadávky za poplatok za rozvoj 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0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28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4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numPr>
                <w:ilvl w:val="0"/>
                <w:numId w:val="27"/>
              </w:numPr>
              <w:ind w:left="214" w:hanging="142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28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</w:tbl>
    <w:p>
      <w:pPr>
        <w:pStyle w:val="Pismenka"/>
        <w:ind w:left="284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numPr>
          <w:ilvl w:val="0"/>
          <w:numId w:val="9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pohľadávky podľa </w:t>
      </w:r>
      <w:r>
        <w:rPr>
          <w:sz w:val="24"/>
          <w:szCs w:val="24"/>
        </w:rPr>
        <w:t>zostatkovej doby splatnosti</w:t>
      </w:r>
      <w:r>
        <w:rPr>
          <w:b w:val="false"/>
          <w:sz w:val="24"/>
          <w:szCs w:val="24"/>
        </w:rPr>
        <w:t xml:space="preserve"> (riadky 048 a 060 súvahy) - tabuľka č.4</w:t>
      </w:r>
    </w:p>
    <w:p>
      <w:pPr>
        <w:pStyle w:val="Pismenka"/>
        <w:ind w:left="0" w:hanging="0"/>
        <w:jc w:val="left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Textová časť k tabuľke č.4  .............................................................................................................................</w:t>
      </w:r>
    </w:p>
    <w:p>
      <w:pPr>
        <w:pStyle w:val="Pismenka"/>
        <w:ind w:left="425" w:hanging="425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>
      <w:pPr>
        <w:pStyle w:val="Pismenka"/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tbl>
      <w:tblPr>
        <w:tblW w:w="10065" w:type="dxa"/>
        <w:jc w:val="left"/>
        <w:tblInd w:w="7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7230"/>
        <w:gridCol w:w="1417"/>
        <w:gridCol w:w="1418"/>
      </w:tblGrid>
      <w:tr>
        <w:trPr/>
        <w:tc>
          <w:tcPr>
            <w:tcW w:w="7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70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Pohľadávky   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70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Zostatok k 31.12.2023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70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Zostatok k 31.12.2022</w:t>
            </w:r>
          </w:p>
        </w:tc>
      </w:tr>
      <w:tr>
        <w:trPr/>
        <w:tc>
          <w:tcPr>
            <w:tcW w:w="7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>
                <w:b/>
                <w:b/>
              </w:rPr>
            </w:pPr>
            <w:r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952,77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401,16</w:t>
            </w:r>
          </w:p>
        </w:tc>
      </w:tr>
      <w:tr>
        <w:trPr/>
        <w:tc>
          <w:tcPr>
            <w:tcW w:w="7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numPr>
                <w:ilvl w:val="0"/>
                <w:numId w:val="28"/>
              </w:numPr>
              <w:ind w:left="356" w:hanging="284"/>
              <w:rPr/>
            </w:pPr>
            <w:r>
              <w:rPr/>
              <w:t>so zostatkovou dobou splatnosti do 1 roka z toho: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numPr>
                <w:ilvl w:val="0"/>
                <w:numId w:val="27"/>
              </w:numPr>
              <w:ind w:left="214" w:hanging="142"/>
              <w:rPr/>
            </w:pPr>
            <w:r>
              <w:rPr/>
              <w:t>pohľadávky na daní z nehnuteľností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828,82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166,16</w:t>
            </w:r>
          </w:p>
        </w:tc>
      </w:tr>
      <w:tr>
        <w:trPr/>
        <w:tc>
          <w:tcPr>
            <w:tcW w:w="7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numPr>
                <w:ilvl w:val="0"/>
                <w:numId w:val="27"/>
              </w:numPr>
              <w:ind w:left="214" w:hanging="142"/>
              <w:rPr/>
            </w:pPr>
            <w:r>
              <w:rPr/>
              <w:t>pohľadávky za KO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123,95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235,00</w:t>
            </w:r>
          </w:p>
        </w:tc>
      </w:tr>
      <w:tr>
        <w:trPr/>
        <w:tc>
          <w:tcPr>
            <w:tcW w:w="7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numPr>
                <w:ilvl w:val="0"/>
                <w:numId w:val="28"/>
              </w:numPr>
              <w:ind w:left="356" w:hanging="284"/>
              <w:rPr/>
            </w:pPr>
            <w:r>
              <w:rPr/>
              <w:t>so zostatkovou dobou splatnosti od 1 roka do 5 rokov z toho: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numPr>
                <w:ilvl w:val="0"/>
                <w:numId w:val="27"/>
              </w:numPr>
              <w:ind w:left="214" w:hanging="142"/>
              <w:rPr/>
            </w:pPr>
            <w:r>
              <w:rPr/>
              <w:t>pohľadávky na daní nehnuteľností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numPr>
                <w:ilvl w:val="0"/>
                <w:numId w:val="27"/>
              </w:numPr>
              <w:ind w:left="214" w:hanging="142"/>
              <w:rPr/>
            </w:pPr>
            <w:r>
              <w:rPr/>
              <w:t>pohľadávky za KO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numPr>
                <w:ilvl w:val="0"/>
                <w:numId w:val="28"/>
              </w:numPr>
              <w:ind w:left="356" w:hanging="284"/>
              <w:rPr/>
            </w:pPr>
            <w:r>
              <w:rPr/>
              <w:t xml:space="preserve">so zostatkovou dobou splatnosti nad 5 rokov z toho: 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numPr>
                <w:ilvl w:val="0"/>
                <w:numId w:val="27"/>
              </w:numPr>
              <w:ind w:left="214" w:hanging="142"/>
              <w:rPr/>
            </w:pPr>
            <w:r>
              <w:rPr/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</w:tbl>
    <w:p>
      <w:pPr>
        <w:pStyle w:val="Pismenka"/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numPr>
          <w:ilvl w:val="0"/>
          <w:numId w:val="9"/>
        </w:numPr>
        <w:ind w:left="284" w:hanging="284"/>
        <w:rPr>
          <w:sz w:val="24"/>
          <w:szCs w:val="24"/>
        </w:rPr>
      </w:pPr>
      <w:r>
        <w:rPr>
          <w:b w:val="false"/>
          <w:sz w:val="24"/>
          <w:szCs w:val="24"/>
        </w:rPr>
        <w:t xml:space="preserve">pohľadávky zabezpečené </w:t>
      </w:r>
      <w:r>
        <w:rPr>
          <w:sz w:val="24"/>
          <w:szCs w:val="24"/>
        </w:rPr>
        <w:t>záložným právom</w:t>
      </w:r>
      <w:r>
        <w:rPr>
          <w:b w:val="false"/>
          <w:sz w:val="24"/>
          <w:szCs w:val="24"/>
        </w:rPr>
        <w:t xml:space="preserve"> alebo </w:t>
      </w:r>
      <w:r>
        <w:rPr>
          <w:sz w:val="24"/>
          <w:szCs w:val="24"/>
        </w:rPr>
        <w:t xml:space="preserve">inou formou zabezpečenia   </w:t>
      </w:r>
    </w:p>
    <w:tbl>
      <w:tblPr>
        <w:tblW w:w="10260" w:type="dxa"/>
        <w:jc w:val="left"/>
        <w:tblInd w:w="7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5102"/>
        <w:gridCol w:w="2835"/>
        <w:gridCol w:w="2323"/>
      </w:tblGrid>
      <w:tr>
        <w:trPr/>
        <w:tc>
          <w:tcPr>
            <w:tcW w:w="51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70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Opis predmetu záložného práva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70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Hodnota predmetu</w:t>
            </w:r>
          </w:p>
        </w:tc>
        <w:tc>
          <w:tcPr>
            <w:tcW w:w="23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70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Hodnota pohľadávky </w:t>
            </w:r>
          </w:p>
        </w:tc>
      </w:tr>
      <w:tr>
        <w:trPr/>
        <w:tc>
          <w:tcPr>
            <w:tcW w:w="51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  <w:t>Pohľadávky kryté záložným právom alebo inou formou zabezpečenia (uviesť inú formu zabezpečenia)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23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</w:tr>
    </w:tbl>
    <w:p>
      <w:pPr>
        <w:pStyle w:val="Pismenka"/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numPr>
          <w:ilvl w:val="0"/>
          <w:numId w:val="9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pohľadávky, na ktoré sa zriadilo</w:t>
      </w:r>
      <w:r>
        <w:rPr>
          <w:sz w:val="24"/>
          <w:szCs w:val="24"/>
        </w:rPr>
        <w:t>záložné právo</w:t>
      </w:r>
      <w:r>
        <w:rPr>
          <w:b w:val="false"/>
          <w:sz w:val="24"/>
          <w:szCs w:val="24"/>
        </w:rPr>
        <w:t xml:space="preserve"> a výška pohľadávok, pri ktorých má účtovná jednotka </w:t>
      </w:r>
      <w:r>
        <w:rPr>
          <w:sz w:val="24"/>
          <w:szCs w:val="24"/>
        </w:rPr>
        <w:t>obmedzené právo s nimi nakladať</w:t>
      </w:r>
    </w:p>
    <w:tbl>
      <w:tblPr>
        <w:tblW w:w="10206" w:type="dxa"/>
        <w:jc w:val="left"/>
        <w:tblInd w:w="7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5220"/>
        <w:gridCol w:w="4985"/>
      </w:tblGrid>
      <w:tr>
        <w:trPr/>
        <w:tc>
          <w:tcPr>
            <w:tcW w:w="52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70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Druh pohľadávok </w:t>
            </w:r>
          </w:p>
        </w:tc>
        <w:tc>
          <w:tcPr>
            <w:tcW w:w="4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70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Hodnota pohľadávok </w:t>
            </w:r>
          </w:p>
        </w:tc>
      </w:tr>
      <w:tr>
        <w:trPr/>
        <w:tc>
          <w:tcPr>
            <w:tcW w:w="52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  <w:t>Hodnota pohľadávok, na ktoré sa zriadilo záložné právo</w:t>
            </w:r>
          </w:p>
        </w:tc>
        <w:tc>
          <w:tcPr>
            <w:tcW w:w="4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52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  <w:t xml:space="preserve">Hodnota pohľadávok pri ktorých je obmedzené </w:t>
            </w:r>
          </w:p>
          <w:p>
            <w:pPr>
              <w:pStyle w:val="Normal"/>
              <w:rPr/>
            </w:pPr>
            <w:r>
              <w:rPr/>
              <w:t xml:space="preserve">právo s nimi nakladať </w:t>
            </w:r>
          </w:p>
        </w:tc>
        <w:tc>
          <w:tcPr>
            <w:tcW w:w="4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</w:tr>
    </w:tbl>
    <w:p>
      <w:pPr>
        <w:pStyle w:val="Normal"/>
        <w:ind w:left="284" w:hanging="0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8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>
      <w:pPr>
        <w:pStyle w:val="Pismenka"/>
        <w:numPr>
          <w:ilvl w:val="0"/>
          <w:numId w:val="10"/>
        </w:numPr>
        <w:ind w:left="284" w:hanging="284"/>
        <w:rPr>
          <w:sz w:val="24"/>
          <w:szCs w:val="24"/>
        </w:rPr>
      </w:pPr>
      <w:r>
        <w:rPr>
          <w:b w:val="false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</w:p>
    <w:tbl>
      <w:tblPr>
        <w:tblW w:w="10348" w:type="dxa"/>
        <w:jc w:val="left"/>
        <w:tblInd w:w="7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4961"/>
        <w:gridCol w:w="2693"/>
        <w:gridCol w:w="2694"/>
      </w:tblGrid>
      <w:tr>
        <w:trPr/>
        <w:tc>
          <w:tcPr>
            <w:tcW w:w="49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70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Krátkodobý  finančný majetok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70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Zostatok k 31.12.2023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70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Zostatok k 31.12.2022</w:t>
            </w:r>
          </w:p>
        </w:tc>
      </w:tr>
      <w:tr>
        <w:trPr/>
        <w:tc>
          <w:tcPr>
            <w:tcW w:w="49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  <w:t>Pokladnica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222,81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111,19</w:t>
            </w:r>
          </w:p>
        </w:tc>
      </w:tr>
      <w:tr>
        <w:trPr/>
        <w:tc>
          <w:tcPr>
            <w:tcW w:w="49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  <w:t>Ceniny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0,00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0,00</w:t>
            </w:r>
          </w:p>
        </w:tc>
      </w:tr>
      <w:tr>
        <w:trPr/>
        <w:tc>
          <w:tcPr>
            <w:tcW w:w="49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  <w:t>Bankové účty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3 308,91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2 635,50</w:t>
            </w:r>
          </w:p>
        </w:tc>
      </w:tr>
    </w:tbl>
    <w:p>
      <w:pPr>
        <w:pStyle w:val="Pismenka"/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numPr>
          <w:ilvl w:val="0"/>
          <w:numId w:val="10"/>
        </w:numPr>
        <w:ind w:left="284" w:hanging="284"/>
        <w:rPr>
          <w:sz w:val="24"/>
          <w:szCs w:val="24"/>
        </w:rPr>
      </w:pPr>
      <w:r>
        <w:rPr>
          <w:b w:val="false"/>
          <w:sz w:val="24"/>
          <w:szCs w:val="24"/>
        </w:rPr>
        <w:t>krátkodobý finančný majetok, na ktorýje zriadené</w:t>
      </w:r>
      <w:r>
        <w:rPr>
          <w:sz w:val="24"/>
          <w:szCs w:val="24"/>
        </w:rPr>
        <w:t>záložné právo</w:t>
      </w:r>
      <w:r>
        <w:rPr>
          <w:b w:val="false"/>
          <w:sz w:val="24"/>
          <w:szCs w:val="24"/>
        </w:rPr>
        <w:t xml:space="preserve"> a krátkodobý finančný majetok, pri ktorom má účtovná jednotka </w:t>
      </w:r>
      <w:r>
        <w:rPr>
          <w:sz w:val="24"/>
          <w:szCs w:val="24"/>
        </w:rPr>
        <w:t>obmedzené právo s ním nakladať</w:t>
      </w:r>
    </w:p>
    <w:tbl>
      <w:tblPr>
        <w:tblW w:w="10206" w:type="dxa"/>
        <w:jc w:val="left"/>
        <w:tblInd w:w="7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6096"/>
        <w:gridCol w:w="4109"/>
      </w:tblGrid>
      <w:tr>
        <w:trPr/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70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Druh </w:t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krátkodobého finančného majetku</w:t>
            </w:r>
          </w:p>
        </w:tc>
        <w:tc>
          <w:tcPr>
            <w:tcW w:w="41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70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Hodnota </w:t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krátkodobého finančného majetku </w:t>
            </w:r>
          </w:p>
        </w:tc>
      </w:tr>
      <w:tr>
        <w:trPr/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  <w:t>Krátkodobý finančný majetok, na ktorý bolo zriadené záložné právo</w:t>
            </w:r>
          </w:p>
        </w:tc>
        <w:tc>
          <w:tcPr>
            <w:tcW w:w="41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  <w:t xml:space="preserve">Krátkodobý finančný majetok, pri ktorom je obmedzené právo s nám nakladať </w:t>
            </w:r>
          </w:p>
        </w:tc>
        <w:tc>
          <w:tcPr>
            <w:tcW w:w="41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</w:tr>
    </w:tbl>
    <w:p>
      <w:pPr>
        <w:pStyle w:val="Normal"/>
        <w:ind w:left="360" w:hanging="0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8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>
        <w:rPr>
          <w:sz w:val="24"/>
          <w:szCs w:val="24"/>
        </w:rPr>
        <w:t>(riadky 098 a104 súvahy):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Popis a hodnota poskytnutých návratných finančných výpomoci podľa jednotlivých druhov výpomocí v členení na </w:t>
      </w:r>
      <w:r>
        <w:rPr>
          <w:b/>
          <w:sz w:val="24"/>
          <w:szCs w:val="24"/>
        </w:rPr>
        <w:t>dlhodobé</w:t>
      </w:r>
      <w:r>
        <w:rPr>
          <w:sz w:val="24"/>
          <w:szCs w:val="24"/>
        </w:rPr>
        <w:t xml:space="preserve"> návratné výpomoci a </w:t>
      </w:r>
      <w:r>
        <w:rPr>
          <w:b/>
          <w:sz w:val="24"/>
          <w:szCs w:val="24"/>
        </w:rPr>
        <w:t>krátkodobé</w:t>
      </w:r>
      <w:r>
        <w:rPr>
          <w:sz w:val="24"/>
          <w:szCs w:val="24"/>
        </w:rPr>
        <w:t xml:space="preserve"> návratné finančné výpomoci</w:t>
      </w:r>
    </w:p>
    <w:p>
      <w:pPr>
        <w:pStyle w:val="Normal"/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</w:r>
    </w:p>
    <w:tbl>
      <w:tblPr>
        <w:tblW w:w="10206" w:type="dxa"/>
        <w:jc w:val="left"/>
        <w:tblInd w:w="7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1"/>
        <w:gridCol w:w="2124"/>
      </w:tblGrid>
      <w:tr>
        <w:trPr/>
        <w:tc>
          <w:tcPr>
            <w:tcW w:w="27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70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Názov dlžníka</w:t>
            </w:r>
          </w:p>
        </w:tc>
        <w:tc>
          <w:tcPr>
            <w:tcW w:w="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70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Výnos </w:t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70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Mena </w:t>
            </w:r>
          </w:p>
        </w:tc>
        <w:tc>
          <w:tcPr>
            <w:tcW w:w="14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70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Dátum </w:t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splatnosti</w:t>
            </w:r>
          </w:p>
        </w:tc>
        <w:tc>
          <w:tcPr>
            <w:tcW w:w="2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70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Výška návratnej finančnej výpomoci</w:t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k 31.12.2023</w:t>
            </w:r>
          </w:p>
        </w:tc>
        <w:tc>
          <w:tcPr>
            <w:tcW w:w="21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70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Výška návratnej finančnej výpomoci</w:t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k 31.12.2022</w:t>
            </w:r>
          </w:p>
        </w:tc>
      </w:tr>
      <w:tr>
        <w:trPr/>
        <w:tc>
          <w:tcPr>
            <w:tcW w:w="27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14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2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21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27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14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2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21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27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>
                <w:b/>
                <w:b/>
              </w:rPr>
            </w:pPr>
            <w:r>
              <w:rPr>
                <w:b/>
              </w:rPr>
            </w:r>
          </w:p>
        </w:tc>
        <w:tc>
          <w:tcPr>
            <w:tcW w:w="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>
                <w:b/>
                <w:b/>
              </w:rPr>
            </w:pPr>
            <w:r>
              <w:rPr>
                <w:b/>
              </w:rPr>
            </w:r>
          </w:p>
        </w:tc>
        <w:tc>
          <w:tcPr>
            <w:tcW w:w="14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>
                <w:b/>
                <w:b/>
              </w:rPr>
            </w:pPr>
            <w:r>
              <w:rPr>
                <w:b/>
              </w:rPr>
            </w:r>
          </w:p>
        </w:tc>
        <w:tc>
          <w:tcPr>
            <w:tcW w:w="2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>
                <w:b/>
                <w:b/>
              </w:rPr>
            </w:pPr>
            <w:r>
              <w:rPr>
                <w:b/>
              </w:rPr>
            </w:r>
          </w:p>
        </w:tc>
        <w:tc>
          <w:tcPr>
            <w:tcW w:w="21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>
                <w:b/>
                <w:b/>
              </w:rPr>
            </w:pPr>
            <w:r>
              <w:rPr>
                <w:b/>
              </w:rPr>
            </w:r>
          </w:p>
        </w:tc>
      </w:tr>
    </w:tbl>
    <w:p>
      <w:pPr>
        <w:pStyle w:val="Normal"/>
        <w:ind w:left="284" w:hanging="0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8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jc w:val="left"/>
        <w:tblInd w:w="7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5669"/>
        <w:gridCol w:w="2410"/>
        <w:gridCol w:w="2127"/>
      </w:tblGrid>
      <w:tr>
        <w:trPr/>
        <w:tc>
          <w:tcPr>
            <w:tcW w:w="56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70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Opis jednotlivých významných položiek časového rozlíšenia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70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Zostatok k 31.12.2023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70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Zostatok k 31.12.2022</w:t>
            </w:r>
          </w:p>
        </w:tc>
      </w:tr>
      <w:tr>
        <w:trPr/>
        <w:tc>
          <w:tcPr>
            <w:tcW w:w="56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  <w:t>Náklady budúcich období  spolu z toho: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56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numPr>
                <w:ilvl w:val="0"/>
                <w:numId w:val="27"/>
              </w:numPr>
              <w:ind w:left="214" w:hanging="142"/>
              <w:rPr/>
            </w:pPr>
            <w:r>
              <w:rPr/>
              <w:t>Poistné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56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numPr>
                <w:ilvl w:val="0"/>
                <w:numId w:val="27"/>
              </w:numPr>
              <w:ind w:left="214" w:hanging="142"/>
              <w:rPr/>
            </w:pPr>
            <w:r>
              <w:rPr/>
              <w:t>Predplatné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56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numPr>
                <w:ilvl w:val="0"/>
                <w:numId w:val="27"/>
              </w:numPr>
              <w:ind w:left="214" w:hanging="142"/>
              <w:rPr/>
            </w:pPr>
            <w:r>
              <w:rPr/>
            </w:r>
          </w:p>
        </w:tc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56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  <w:t xml:space="preserve">Príjmy budúcich období  spolu z toho: 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56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numPr>
                <w:ilvl w:val="0"/>
                <w:numId w:val="27"/>
              </w:numPr>
              <w:ind w:left="214" w:hanging="142"/>
              <w:rPr/>
            </w:pPr>
            <w:r>
              <w:rPr/>
            </w:r>
          </w:p>
        </w:tc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56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numPr>
                <w:ilvl w:val="0"/>
                <w:numId w:val="27"/>
              </w:numPr>
              <w:ind w:left="214" w:hanging="142"/>
              <w:rPr/>
            </w:pPr>
            <w:r>
              <w:rPr/>
            </w:r>
          </w:p>
        </w:tc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>
                <w:b/>
                <w:b/>
              </w:rPr>
            </w:pPr>
            <w:r>
              <w:rPr>
                <w:b/>
              </w:rPr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>
                <w:b/>
                <w:b/>
              </w:rPr>
            </w:pPr>
            <w:r>
              <w:rPr>
                <w:b/>
              </w:rPr>
            </w:r>
          </w:p>
        </w:tc>
      </w:tr>
    </w:tbl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>
      <w:pPr>
        <w:pStyle w:val="Pismenka"/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Normal"/>
        <w:rPr>
          <w:sz w:val="24"/>
          <w:szCs w:val="24"/>
        </w:rPr>
      </w:pPr>
      <w:r>
        <w:rPr>
          <w:b/>
          <w:sz w:val="24"/>
          <w:szCs w:val="24"/>
        </w:rPr>
        <w:t xml:space="preserve">A Vlastné imanie </w:t>
      </w:r>
      <w:r>
        <w:rPr>
          <w:sz w:val="24"/>
          <w:szCs w:val="24"/>
        </w:rPr>
        <w:t>- tabuľka č.5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tbl>
      <w:tblPr>
        <w:tblW w:w="10314" w:type="dxa"/>
        <w:jc w:val="left"/>
        <w:tblInd w:w="10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2126"/>
        <w:gridCol w:w="1134"/>
        <w:gridCol w:w="1133"/>
        <w:gridCol w:w="1134"/>
        <w:gridCol w:w="567"/>
        <w:gridCol w:w="1134"/>
        <w:gridCol w:w="3085"/>
      </w:tblGrid>
      <w:tr>
        <w:trPr/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Názov položky</w:t>
            </w:r>
          </w:p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</w:t>
            </w:r>
          </w:p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31.12.2022</w:t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Zvýšenie </w:t>
            </w:r>
          </w:p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Zníženie </w:t>
            </w:r>
          </w:p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</w:t>
            </w:r>
          </w:p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31.12.2023</w:t>
            </w:r>
          </w:p>
        </w:tc>
        <w:tc>
          <w:tcPr>
            <w:tcW w:w="3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>
        <w:trPr/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3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color w:val="FF0000"/>
              </w:rPr>
            </w:pPr>
            <w:r>
              <w:rPr>
                <w:color w:val="FF0000"/>
              </w:rPr>
            </w:r>
          </w:p>
        </w:tc>
      </w:tr>
      <w:tr>
        <w:trPr/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/>
            </w:pPr>
            <w:r>
              <w:rPr/>
              <w:t xml:space="preserve">428 - Nevysporiadaný výsledok hospodárenia minulých rokov 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/>
            </w:pPr>
            <w:r>
              <w:rPr/>
            </w:r>
          </w:p>
          <w:p>
            <w:pPr>
              <w:pStyle w:val="Normal"/>
              <w:jc w:val="center"/>
              <w:rPr/>
            </w:pPr>
            <w:r>
              <w:rPr/>
              <w:t>42 244,05</w:t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/>
            </w:pPr>
            <w:r>
              <w:rPr/>
              <w:t>6 346,41</w:t>
            </w:r>
          </w:p>
        </w:tc>
        <w:tc>
          <w:tcPr>
            <w:tcW w:w="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/>
            </w:pPr>
            <w:r>
              <w:rPr/>
              <w:t>35 897,64</w:t>
            </w:r>
          </w:p>
        </w:tc>
        <w:tc>
          <w:tcPr>
            <w:tcW w:w="3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/>
            </w:pPr>
            <w:r>
              <w:rPr/>
              <w:t xml:space="preserve">Výsledok hospodárenia </w:t>
            </w:r>
          </w:p>
          <w:p>
            <w:pPr>
              <w:pStyle w:val="Normal"/>
              <w:rPr/>
            </w:pPr>
            <w:r>
              <w:rPr/>
              <w:t>(431)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/>
            </w:pPr>
            <w:r>
              <w:rPr/>
              <w:t>-6 346,41</w:t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/>
            </w:pPr>
            <w:r>
              <w:rPr/>
              <w:t>11 257,51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/>
            </w:pPr>
            <w:r>
              <w:rPr/>
              <w:t>-17 603,92</w:t>
            </w:r>
          </w:p>
        </w:tc>
        <w:tc>
          <w:tcPr>
            <w:tcW w:w="3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/>
            </w:pPr>
            <w:r>
              <w:rPr/>
              <w:t xml:space="preserve">Presuny  € : preúčtovanie HV za rok ... </w:t>
            </w:r>
          </w:p>
          <w:p>
            <w:pPr>
              <w:pStyle w:val="Normal"/>
              <w:rPr/>
            </w:pPr>
            <w:r>
              <w:rPr/>
              <w:t>HV za rok .......</w:t>
            </w:r>
          </w:p>
        </w:tc>
      </w:tr>
      <w:tr>
        <w:trPr/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right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3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color w:val="FF0000"/>
              </w:rPr>
            </w:pPr>
            <w:r>
              <w:rPr>
                <w:color w:val="FF0000"/>
              </w:rPr>
            </w:r>
          </w:p>
        </w:tc>
      </w:tr>
    </w:tbl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B Záväzky</w:t>
      </w:r>
    </w:p>
    <w:p>
      <w:pPr>
        <w:pStyle w:val="Normal"/>
        <w:numPr>
          <w:ilvl w:val="0"/>
          <w:numId w:val="11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- tabuľka č.6-7 </w:t>
      </w:r>
    </w:p>
    <w:p>
      <w:pPr>
        <w:pStyle w:val="Pismenka"/>
        <w:jc w:val="left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jc w:val="left"/>
        <w:tblInd w:w="7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7229"/>
        <w:gridCol w:w="2976"/>
      </w:tblGrid>
      <w:tr>
        <w:trPr/>
        <w:tc>
          <w:tcPr>
            <w:tcW w:w="72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70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Názov položky / Suma</w:t>
            </w:r>
          </w:p>
        </w:tc>
        <w:tc>
          <w:tcPr>
            <w:tcW w:w="29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70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>
        <w:trPr/>
        <w:tc>
          <w:tcPr>
            <w:tcW w:w="72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29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>
                <w:color w:val="FF0000"/>
              </w:rPr>
            </w:pPr>
            <w:r>
              <w:rPr>
                <w:color w:val="FF0000"/>
              </w:rPr>
            </w:r>
          </w:p>
        </w:tc>
      </w:tr>
      <w:tr>
        <w:trPr/>
        <w:tc>
          <w:tcPr>
            <w:tcW w:w="72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29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>
                <w:color w:val="FF0000"/>
              </w:rPr>
            </w:pPr>
            <w:r>
              <w:rPr>
                <w:color w:val="FF0000"/>
              </w:rPr>
            </w:r>
          </w:p>
        </w:tc>
      </w:tr>
      <w:tr>
        <w:trPr/>
        <w:tc>
          <w:tcPr>
            <w:tcW w:w="72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29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</w:tbl>
    <w:p>
      <w:pPr>
        <w:pStyle w:val="Normal"/>
        <w:ind w:left="284" w:hanging="0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11"/>
        </w:numPr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>
      <w:pPr>
        <w:pStyle w:val="Pismenka"/>
        <w:numPr>
          <w:ilvl w:val="0"/>
          <w:numId w:val="12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false"/>
          <w:sz w:val="24"/>
          <w:szCs w:val="24"/>
        </w:rPr>
        <w:t xml:space="preserve"> (riadky 140 a 151 súvahy) - tabuľka č.8</w:t>
      </w:r>
    </w:p>
    <w:p>
      <w:pPr>
        <w:pStyle w:val="Pismenka"/>
        <w:ind w:left="0" w:hanging="0"/>
        <w:jc w:val="left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Textová časť k tabuľke č.8  -  účtovná  jednotka neeviduje žiadne záväzky po lehote splatnosti 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>
      <w:pPr>
        <w:pStyle w:val="Pismenka"/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tbl>
      <w:tblPr>
        <w:tblW w:w="10206" w:type="dxa"/>
        <w:jc w:val="left"/>
        <w:tblInd w:w="7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7229"/>
        <w:gridCol w:w="1560"/>
        <w:gridCol w:w="1417"/>
      </w:tblGrid>
      <w:tr>
        <w:trPr/>
        <w:tc>
          <w:tcPr>
            <w:tcW w:w="72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70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Záväzky          </w:t>
            </w:r>
          </w:p>
        </w:tc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70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Zostatok k 31.12.2023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70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Zostatok k 31.12.2022</w:t>
            </w:r>
          </w:p>
        </w:tc>
      </w:tr>
      <w:tr>
        <w:trPr/>
        <w:tc>
          <w:tcPr>
            <w:tcW w:w="72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>
                <w:b/>
                <w:b/>
              </w:rPr>
            </w:pPr>
            <w:r>
              <w:rPr>
                <w:b/>
              </w:rPr>
              <w:t xml:space="preserve">Dlhodobé záväzky z toho: </w:t>
            </w:r>
          </w:p>
        </w:tc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numPr>
                <w:ilvl w:val="0"/>
                <w:numId w:val="27"/>
              </w:numPr>
              <w:ind w:left="318" w:hanging="142"/>
              <w:rPr/>
            </w:pPr>
            <w:r>
              <w:rPr/>
              <w:t>záväzky zo sociálneho fondu</w:t>
            </w:r>
          </w:p>
        </w:tc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402,18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214,11</w:t>
            </w:r>
          </w:p>
        </w:tc>
      </w:tr>
      <w:tr>
        <w:trPr/>
        <w:tc>
          <w:tcPr>
            <w:tcW w:w="72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numPr>
                <w:ilvl w:val="0"/>
                <w:numId w:val="27"/>
              </w:numPr>
              <w:ind w:left="318" w:hanging="142"/>
              <w:rPr/>
            </w:pPr>
            <w:r>
              <w:rPr/>
              <w:t>záväzky z poskytnutého úveru zo ŠFRB</w:t>
            </w:r>
          </w:p>
        </w:tc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numPr>
                <w:ilvl w:val="0"/>
                <w:numId w:val="27"/>
              </w:numPr>
              <w:ind w:left="318" w:hanging="142"/>
              <w:rPr/>
            </w:pPr>
            <w:r>
              <w:rPr/>
              <w:t>záväzky z investičného dodávateľského úveru</w:t>
            </w:r>
          </w:p>
        </w:tc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numPr>
                <w:ilvl w:val="0"/>
                <w:numId w:val="27"/>
              </w:numPr>
              <w:ind w:left="318" w:hanging="142"/>
              <w:rPr/>
            </w:pPr>
            <w:r>
              <w:rPr/>
              <w:t>záväzky z neinvestičného dodávateľského úveru</w:t>
            </w:r>
          </w:p>
        </w:tc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numPr>
                <w:ilvl w:val="0"/>
                <w:numId w:val="27"/>
              </w:numPr>
              <w:ind w:left="318" w:hanging="142"/>
              <w:rPr/>
            </w:pPr>
            <w:r>
              <w:rPr/>
              <w:t>záväzky z finančnej zábezpeky na nájomné v bytovkách zo ŠFRB</w:t>
            </w:r>
          </w:p>
        </w:tc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ind w:left="678" w:hanging="0"/>
              <w:rPr/>
            </w:pPr>
            <w:r>
              <w:rPr/>
            </w:r>
          </w:p>
        </w:tc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>
                <w:b/>
                <w:b/>
              </w:rPr>
            </w:pPr>
            <w:r>
              <w:rPr>
                <w:b/>
              </w:rPr>
              <w:t xml:space="preserve">Krátkodobé záväzky z toho: </w:t>
            </w:r>
          </w:p>
        </w:tc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numPr>
                <w:ilvl w:val="0"/>
                <w:numId w:val="27"/>
              </w:numPr>
              <w:ind w:left="318" w:hanging="142"/>
              <w:rPr/>
            </w:pPr>
            <w:r>
              <w:rPr/>
              <w:t>záväzky voči dodávateľom</w:t>
            </w:r>
          </w:p>
        </w:tc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48,20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48,20</w:t>
            </w:r>
          </w:p>
        </w:tc>
      </w:tr>
      <w:tr>
        <w:trPr/>
        <w:tc>
          <w:tcPr>
            <w:tcW w:w="72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numPr>
                <w:ilvl w:val="0"/>
                <w:numId w:val="27"/>
              </w:numPr>
              <w:ind w:left="318" w:hanging="142"/>
              <w:rPr/>
            </w:pPr>
            <w:r>
              <w:rPr/>
              <w:t>záväzky voči zamestnancom</w:t>
            </w:r>
          </w:p>
        </w:tc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2 192,63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2096,52</w:t>
            </w:r>
          </w:p>
        </w:tc>
      </w:tr>
      <w:tr>
        <w:trPr/>
        <w:tc>
          <w:tcPr>
            <w:tcW w:w="72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numPr>
                <w:ilvl w:val="0"/>
                <w:numId w:val="27"/>
              </w:numPr>
              <w:ind w:left="318" w:hanging="142"/>
              <w:rPr/>
            </w:pPr>
            <w:r>
              <w:rPr/>
              <w:t xml:space="preserve">záväzky voči poisťovniam </w:t>
            </w:r>
          </w:p>
        </w:tc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983,38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1206,32</w:t>
            </w:r>
          </w:p>
        </w:tc>
      </w:tr>
      <w:tr>
        <w:trPr/>
        <w:tc>
          <w:tcPr>
            <w:tcW w:w="72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numPr>
                <w:ilvl w:val="0"/>
                <w:numId w:val="27"/>
              </w:numPr>
              <w:ind w:left="318" w:hanging="142"/>
              <w:rPr/>
            </w:pPr>
            <w:r>
              <w:rPr/>
              <w:t>záväzky voči daňovému úradu</w:t>
            </w:r>
          </w:p>
        </w:tc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132,82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208,65</w:t>
            </w:r>
          </w:p>
        </w:tc>
      </w:tr>
      <w:tr>
        <w:trPr/>
        <w:tc>
          <w:tcPr>
            <w:tcW w:w="72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numPr>
                <w:ilvl w:val="0"/>
                <w:numId w:val="27"/>
              </w:numPr>
              <w:ind w:left="318" w:hanging="142"/>
              <w:rPr/>
            </w:pPr>
            <w:r>
              <w:rPr/>
              <w:t>záväzky voči štátnemu rozpočtu</w:t>
            </w:r>
          </w:p>
        </w:tc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numPr>
                <w:ilvl w:val="0"/>
                <w:numId w:val="27"/>
              </w:numPr>
              <w:ind w:left="318" w:hanging="142"/>
              <w:rPr/>
            </w:pPr>
            <w:r>
              <w:rPr/>
              <w:t xml:space="preserve">záväzky z finančnej zábezpeky na verejné obstarávanie </w:t>
            </w:r>
          </w:p>
        </w:tc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numPr>
                <w:ilvl w:val="0"/>
                <w:numId w:val="27"/>
              </w:numPr>
              <w:ind w:left="318" w:hanging="142"/>
              <w:rPr/>
            </w:pPr>
            <w:r>
              <w:rPr/>
              <w:t>ostatné záväzky</w:t>
            </w:r>
          </w:p>
        </w:tc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278,65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278,65</w:t>
            </w:r>
          </w:p>
        </w:tc>
      </w:tr>
      <w:tr>
        <w:trPr/>
        <w:tc>
          <w:tcPr>
            <w:tcW w:w="72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ind w:left="318" w:hanging="0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</w:tbl>
    <w:p>
      <w:pPr>
        <w:pStyle w:val="Pismenka"/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numPr>
          <w:ilvl w:val="0"/>
          <w:numId w:val="12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 </w:t>
      </w:r>
      <w:r>
        <w:rPr>
          <w:b w:val="false"/>
          <w:sz w:val="24"/>
          <w:szCs w:val="24"/>
        </w:rPr>
        <w:t xml:space="preserve">záväzky podľa </w:t>
      </w:r>
      <w:r>
        <w:rPr>
          <w:sz w:val="24"/>
          <w:szCs w:val="24"/>
        </w:rPr>
        <w:t>zostatkovej doby splatnosti</w:t>
      </w:r>
      <w:r>
        <w:rPr>
          <w:b w:val="false"/>
          <w:sz w:val="24"/>
          <w:szCs w:val="24"/>
        </w:rPr>
        <w:t xml:space="preserve"> (riadky 140 a 151 súvahy) - tabuľka č.8</w:t>
      </w:r>
    </w:p>
    <w:p>
      <w:pPr>
        <w:pStyle w:val="Pismenka"/>
        <w:ind w:left="0" w:hanging="0"/>
        <w:jc w:val="left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>
      <w:pPr>
        <w:pStyle w:val="Pismenka"/>
        <w:ind w:left="425" w:hanging="425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>
      <w:pPr>
        <w:pStyle w:val="Pismenka"/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tbl>
      <w:tblPr>
        <w:tblW w:w="10348" w:type="dxa"/>
        <w:jc w:val="left"/>
        <w:tblInd w:w="7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7230"/>
        <w:gridCol w:w="1559"/>
        <w:gridCol w:w="1559"/>
      </w:tblGrid>
      <w:tr>
        <w:trPr/>
        <w:tc>
          <w:tcPr>
            <w:tcW w:w="7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70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70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Zostatok k 31.12.2023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70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Zostatok k 31.12.2022</w:t>
            </w:r>
          </w:p>
        </w:tc>
      </w:tr>
      <w:tr>
        <w:trPr/>
        <w:tc>
          <w:tcPr>
            <w:tcW w:w="7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>
                <w:b/>
                <w:b/>
              </w:rPr>
            </w:pPr>
            <w:r>
              <w:rPr>
                <w:b/>
              </w:rPr>
              <w:t xml:space="preserve">Záväzky z toho: 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numPr>
                <w:ilvl w:val="0"/>
                <w:numId w:val="29"/>
              </w:numPr>
              <w:ind w:left="356" w:hanging="284"/>
              <w:rPr/>
            </w:pPr>
            <w:r>
              <w:rPr/>
              <w:t>so zostatkovou dobou splatnosti  do 1 roka  z toho: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402,18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214,11</w:t>
            </w:r>
          </w:p>
        </w:tc>
      </w:tr>
      <w:tr>
        <w:trPr/>
        <w:tc>
          <w:tcPr>
            <w:tcW w:w="7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numPr>
                <w:ilvl w:val="0"/>
                <w:numId w:val="27"/>
              </w:numPr>
              <w:ind w:left="214" w:hanging="142"/>
              <w:rPr/>
            </w:pPr>
            <w:r>
              <w:rPr/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>
                <w:color w:val="FF0000"/>
              </w:rPr>
            </w:pPr>
            <w:r>
              <w:rPr>
                <w:color w:val="FF0000"/>
              </w:rPr>
            </w:r>
          </w:p>
        </w:tc>
      </w:tr>
      <w:tr>
        <w:trPr/>
        <w:tc>
          <w:tcPr>
            <w:tcW w:w="7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numPr>
                <w:ilvl w:val="0"/>
                <w:numId w:val="27"/>
              </w:numPr>
              <w:ind w:left="214" w:hanging="142"/>
              <w:rPr/>
            </w:pPr>
            <w:r>
              <w:rPr/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numPr>
                <w:ilvl w:val="0"/>
                <w:numId w:val="29"/>
              </w:numPr>
              <w:ind w:left="356" w:hanging="284"/>
              <w:rPr/>
            </w:pPr>
            <w:r>
              <w:rPr/>
              <w:t>so zostatkovou dobou splatnosti  od 1 roka do 5 rokov z toho: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numPr>
                <w:ilvl w:val="0"/>
                <w:numId w:val="27"/>
              </w:numPr>
              <w:ind w:left="214" w:hanging="142"/>
              <w:rPr/>
            </w:pPr>
            <w:r>
              <w:rPr/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numPr>
                <w:ilvl w:val="0"/>
                <w:numId w:val="27"/>
              </w:numPr>
              <w:ind w:left="214" w:hanging="142"/>
              <w:rPr/>
            </w:pPr>
            <w:r>
              <w:rPr/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numPr>
                <w:ilvl w:val="0"/>
                <w:numId w:val="29"/>
              </w:numPr>
              <w:ind w:left="356" w:hanging="284"/>
              <w:rPr/>
            </w:pPr>
            <w:r>
              <w:rPr/>
              <w:t>so zostatkovou dobou splatnosti  nad 5 rokov z toho: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numPr>
                <w:ilvl w:val="0"/>
                <w:numId w:val="27"/>
              </w:numPr>
              <w:ind w:left="214" w:hanging="142"/>
              <w:rPr/>
            </w:pPr>
            <w:r>
              <w:rPr/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</w:tbl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jc w:val="left"/>
        <w:tblInd w:w="7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3119"/>
        <w:gridCol w:w="1701"/>
        <w:gridCol w:w="1983"/>
        <w:gridCol w:w="3261"/>
      </w:tblGrid>
      <w:tr>
        <w:trPr/>
        <w:tc>
          <w:tcPr>
            <w:tcW w:w="31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70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70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Hodnota záväzku k 31.12.2023</w:t>
            </w: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70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Hodnota záväzku k 31.12.2022</w:t>
            </w:r>
          </w:p>
        </w:tc>
        <w:tc>
          <w:tcPr>
            <w:tcW w:w="3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70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Opis</w:t>
            </w:r>
          </w:p>
        </w:tc>
      </w:tr>
      <w:tr>
        <w:trPr/>
        <w:tc>
          <w:tcPr>
            <w:tcW w:w="31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3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31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3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>
                <w:color w:val="FF0000"/>
              </w:rPr>
            </w:pPr>
            <w:r>
              <w:rPr>
                <w:color w:val="FF0000"/>
              </w:rPr>
            </w:r>
          </w:p>
        </w:tc>
      </w:tr>
      <w:tr>
        <w:trPr/>
        <w:tc>
          <w:tcPr>
            <w:tcW w:w="31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3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>
                <w:color w:val="FF0000"/>
              </w:rPr>
            </w:pPr>
            <w:r>
              <w:rPr>
                <w:color w:val="FF0000"/>
              </w:rPr>
            </w:r>
          </w:p>
        </w:tc>
      </w:tr>
      <w:tr>
        <w:trPr/>
        <w:tc>
          <w:tcPr>
            <w:tcW w:w="31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3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</w:tr>
    </w:tbl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11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>
      <w:pPr>
        <w:pStyle w:val="Pismenka"/>
        <w:numPr>
          <w:ilvl w:val="0"/>
          <w:numId w:val="13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dlhodobé bankové úvery a krátkodobé bankové úvery - tabuľka č.9</w:t>
      </w:r>
    </w:p>
    <w:p>
      <w:pPr>
        <w:pStyle w:val="Pismenka"/>
        <w:ind w:left="0" w:hanging="0"/>
        <w:jc w:val="left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Textová časť k tabuľke č.9 </w:t>
      </w:r>
    </w:p>
    <w:p>
      <w:pPr>
        <w:pStyle w:val="Normal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V roku 2023 neprijala návratnú finančnú výpomoc.</w:t>
      </w:r>
    </w:p>
    <w:p>
      <w:pPr>
        <w:pStyle w:val="Pismenka"/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>
      <w:pPr>
        <w:pStyle w:val="Pismenka"/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numPr>
          <w:ilvl w:val="0"/>
          <w:numId w:val="13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>
        <w:rPr>
          <w:b w:val="false"/>
          <w:sz w:val="24"/>
          <w:szCs w:val="24"/>
        </w:rPr>
        <w:t>dlhodobého bankového úveru alebo krátkodobého bankového úveru</w:t>
      </w:r>
    </w:p>
    <w:tbl>
      <w:tblPr>
        <w:tblW w:w="10348" w:type="dxa"/>
        <w:jc w:val="left"/>
        <w:tblInd w:w="7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4500"/>
        <w:gridCol w:w="5847"/>
      </w:tblGrid>
      <w:tr>
        <w:trPr/>
        <w:tc>
          <w:tcPr>
            <w:tcW w:w="45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70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Druh bankového úveru </w:t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podľa splatnosti /krátkodobý, dlhodobý/</w:t>
            </w:r>
          </w:p>
        </w:tc>
        <w:tc>
          <w:tcPr>
            <w:tcW w:w="58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70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Opis zabezpečenia dlhodobého bankového úveru </w:t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>
        <w:trPr/>
        <w:tc>
          <w:tcPr>
            <w:tcW w:w="45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both"/>
              <w:rPr/>
            </w:pPr>
            <w:r>
              <w:rPr/>
            </w:r>
          </w:p>
        </w:tc>
        <w:tc>
          <w:tcPr>
            <w:tcW w:w="58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both"/>
              <w:rPr/>
            </w:pPr>
            <w:r>
              <w:rPr/>
            </w:r>
          </w:p>
        </w:tc>
      </w:tr>
      <w:tr>
        <w:trPr/>
        <w:tc>
          <w:tcPr>
            <w:tcW w:w="45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both"/>
              <w:rPr/>
            </w:pPr>
            <w:r>
              <w:rPr/>
            </w:r>
          </w:p>
        </w:tc>
        <w:tc>
          <w:tcPr>
            <w:tcW w:w="58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both"/>
              <w:rPr/>
            </w:pPr>
            <w:r>
              <w:rPr/>
            </w:r>
          </w:p>
        </w:tc>
      </w:tr>
      <w:tr>
        <w:trPr/>
        <w:tc>
          <w:tcPr>
            <w:tcW w:w="45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both"/>
              <w:rPr/>
            </w:pPr>
            <w:r>
              <w:rPr/>
            </w:r>
          </w:p>
        </w:tc>
        <w:tc>
          <w:tcPr>
            <w:tcW w:w="58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both"/>
              <w:rPr/>
            </w:pPr>
            <w:r>
              <w:rPr/>
            </w:r>
          </w:p>
        </w:tc>
      </w:tr>
    </w:tbl>
    <w:p>
      <w:pPr>
        <w:pStyle w:val="Pismenka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Pismenka"/>
        <w:numPr>
          <w:ilvl w:val="0"/>
          <w:numId w:val="13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dlhodobé emitované dlhopisy a krátkodobé emitované dlhopisy </w:t>
      </w:r>
      <w:r>
        <w:rPr>
          <w:b w:val="false"/>
          <w:sz w:val="24"/>
          <w:szCs w:val="24"/>
        </w:rPr>
        <w:t>(riadky 150 a 176 súvahy)</w:t>
      </w:r>
    </w:p>
    <w:tbl>
      <w:tblPr>
        <w:tblW w:w="10420" w:type="dxa"/>
        <w:jc w:val="left"/>
        <w:tblInd w:w="7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3239"/>
        <w:gridCol w:w="1863"/>
        <w:gridCol w:w="1017"/>
        <w:gridCol w:w="1400"/>
        <w:gridCol w:w="1480"/>
        <w:gridCol w:w="1420"/>
      </w:tblGrid>
      <w:tr>
        <w:trPr/>
        <w:tc>
          <w:tcPr>
            <w:tcW w:w="3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70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Druh cenného papiera</w:t>
            </w:r>
          </w:p>
        </w:tc>
        <w:tc>
          <w:tcPr>
            <w:tcW w:w="18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70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Mena, v ktorej sú</w:t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cenné papiere vydané</w:t>
            </w:r>
          </w:p>
        </w:tc>
        <w:tc>
          <w:tcPr>
            <w:tcW w:w="10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70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Úroková sadzba </w:t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14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70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Dátum splatnosti</w:t>
            </w:r>
          </w:p>
        </w:tc>
        <w:tc>
          <w:tcPr>
            <w:tcW w:w="14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70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Stav</w:t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k 31.12.2023</w:t>
            </w:r>
          </w:p>
        </w:tc>
        <w:tc>
          <w:tcPr>
            <w:tcW w:w="14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70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Stav</w:t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k 31.12.2022</w:t>
            </w:r>
          </w:p>
        </w:tc>
      </w:tr>
      <w:tr>
        <w:trPr/>
        <w:tc>
          <w:tcPr>
            <w:tcW w:w="3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18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10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14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14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14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3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18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10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14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14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14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3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18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10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14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14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14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</w:tr>
    </w:tbl>
    <w:p>
      <w:pPr>
        <w:pStyle w:val="Pismenka"/>
        <w:ind w:left="284" w:hanging="0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Pismenka"/>
        <w:ind w:left="284" w:hanging="0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Pismenka"/>
        <w:ind w:left="284" w:hanging="0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Pismenka"/>
        <w:ind w:left="284" w:hanging="0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Pismenka"/>
        <w:numPr>
          <w:ilvl w:val="0"/>
          <w:numId w:val="13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420" w:type="dxa"/>
        <w:jc w:val="left"/>
        <w:tblInd w:w="7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3119"/>
        <w:gridCol w:w="2126"/>
        <w:gridCol w:w="1134"/>
        <w:gridCol w:w="1133"/>
        <w:gridCol w:w="1418"/>
        <w:gridCol w:w="1489"/>
      </w:tblGrid>
      <w:tr>
        <w:trPr/>
        <w:tc>
          <w:tcPr>
            <w:tcW w:w="31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70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Poskytovateľ </w:t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návratnej výpomoci</w:t>
            </w:r>
          </w:p>
        </w:tc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70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Druh prijatej návratnej výpomoci</w:t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/krátkodobá, dlhodobá/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70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Účel </w:t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použitia</w:t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70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Dátum splatnosti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70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Výška prijatej návratnej výpomoci</w:t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k 31.12.2023</w:t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70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Výška prijatej návratnej výpomoci</w:t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k 31.12.2022</w:t>
            </w:r>
          </w:p>
        </w:tc>
      </w:tr>
      <w:tr>
        <w:trPr/>
        <w:tc>
          <w:tcPr>
            <w:tcW w:w="31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31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31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</w:tr>
    </w:tbl>
    <w:p>
      <w:pPr>
        <w:pStyle w:val="Normal"/>
        <w:ind w:left="284" w:hanging="0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11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>
      <w:pPr>
        <w:pStyle w:val="Pismenka"/>
        <w:numPr>
          <w:ilvl w:val="0"/>
          <w:numId w:val="14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false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jc w:val="left"/>
        <w:tblInd w:w="7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5528"/>
        <w:gridCol w:w="2409"/>
        <w:gridCol w:w="2411"/>
      </w:tblGrid>
      <w:tr>
        <w:trPr/>
        <w:tc>
          <w:tcPr>
            <w:tcW w:w="55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70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Opis významnej položky časového rozlíšenia</w:t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70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Zostatok  k 31.12.2023</w:t>
            </w:r>
          </w:p>
        </w:tc>
        <w:tc>
          <w:tcPr>
            <w:tcW w:w="2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70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Zostatok  k 31.12.2022</w:t>
            </w:r>
          </w:p>
        </w:tc>
      </w:tr>
      <w:tr>
        <w:trPr/>
        <w:tc>
          <w:tcPr>
            <w:tcW w:w="55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  <w:t>Výdavky budúcich obdobíspolu z toho:</w:t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>
                <w:b/>
                <w:b/>
              </w:rPr>
            </w:pPr>
            <w:r>
              <w:rPr>
                <w:b/>
              </w:rPr>
            </w:r>
          </w:p>
        </w:tc>
        <w:tc>
          <w:tcPr>
            <w:tcW w:w="2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>
                <w:b/>
                <w:b/>
              </w:rPr>
            </w:pPr>
            <w:r>
              <w:rPr>
                <w:b/>
              </w:rPr>
            </w:r>
          </w:p>
        </w:tc>
      </w:tr>
      <w:tr>
        <w:trPr/>
        <w:tc>
          <w:tcPr>
            <w:tcW w:w="55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numPr>
                <w:ilvl w:val="0"/>
                <w:numId w:val="27"/>
              </w:numPr>
              <w:ind w:left="214" w:hanging="142"/>
              <w:rPr/>
            </w:pPr>
            <w:r>
              <w:rPr/>
              <w:t>Rekonštrukciaverejného osvetlenia</w:t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0,00</w:t>
            </w:r>
          </w:p>
        </w:tc>
        <w:tc>
          <w:tcPr>
            <w:tcW w:w="2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0,00</w:t>
            </w:r>
          </w:p>
        </w:tc>
      </w:tr>
      <w:tr>
        <w:trPr/>
        <w:tc>
          <w:tcPr>
            <w:tcW w:w="55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numPr>
                <w:ilvl w:val="0"/>
                <w:numId w:val="27"/>
              </w:numPr>
              <w:ind w:left="214" w:hanging="142"/>
              <w:rPr/>
            </w:pPr>
            <w:r>
              <w:rPr/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2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55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  <w:t>Výnosy budúcich období spolu z toho:</w:t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39 700,78</w:t>
            </w:r>
          </w:p>
        </w:tc>
        <w:tc>
          <w:tcPr>
            <w:tcW w:w="2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168 652,51</w:t>
            </w:r>
          </w:p>
        </w:tc>
      </w:tr>
      <w:tr>
        <w:trPr/>
        <w:tc>
          <w:tcPr>
            <w:tcW w:w="55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numPr>
                <w:ilvl w:val="0"/>
                <w:numId w:val="27"/>
              </w:numPr>
              <w:ind w:left="214" w:hanging="142"/>
              <w:rPr/>
            </w:pPr>
            <w:r>
              <w:rPr/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2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55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numPr>
                <w:ilvl w:val="0"/>
                <w:numId w:val="27"/>
              </w:numPr>
              <w:ind w:left="214" w:hanging="142"/>
              <w:rPr/>
            </w:pPr>
            <w:r>
              <w:rPr/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2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55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numPr>
                <w:ilvl w:val="0"/>
                <w:numId w:val="27"/>
              </w:numPr>
              <w:ind w:left="214" w:hanging="142"/>
              <w:rPr/>
            </w:pPr>
            <w:r>
              <w:rPr/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2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</w:tr>
    </w:tbl>
    <w:p>
      <w:pPr>
        <w:pStyle w:val="Pismenka"/>
        <w:ind w:left="284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numPr>
          <w:ilvl w:val="0"/>
          <w:numId w:val="14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informácia o </w:t>
      </w:r>
      <w:r>
        <w:rPr>
          <w:sz w:val="24"/>
          <w:szCs w:val="24"/>
        </w:rPr>
        <w:t>prijatých kapitálových transferoch</w:t>
      </w:r>
      <w:r>
        <w:rPr>
          <w:b w:val="false"/>
          <w:sz w:val="24"/>
          <w:szCs w:val="24"/>
        </w:rPr>
        <w:t xml:space="preserve"> zaúčtovaných na účte 384 </w:t>
      </w:r>
    </w:p>
    <w:tbl>
      <w:tblPr>
        <w:tblW w:w="10347" w:type="dxa"/>
        <w:jc w:val="left"/>
        <w:tblInd w:w="7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5529"/>
        <w:gridCol w:w="2409"/>
        <w:gridCol w:w="2409"/>
      </w:tblGrid>
      <w:tr>
        <w:trPr/>
        <w:tc>
          <w:tcPr>
            <w:tcW w:w="5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70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Kapitálový transfer na: </w:t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70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Stav k 31.12.2023</w:t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70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Stav k 31.12.2022</w:t>
            </w:r>
          </w:p>
        </w:tc>
      </w:tr>
      <w:tr>
        <w:trPr/>
        <w:tc>
          <w:tcPr>
            <w:tcW w:w="5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numPr>
                <w:ilvl w:val="0"/>
                <w:numId w:val="27"/>
              </w:numPr>
              <w:ind w:left="214" w:hanging="142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5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numPr>
                <w:ilvl w:val="0"/>
                <w:numId w:val="27"/>
              </w:numPr>
              <w:ind w:left="214" w:hanging="142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5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numPr>
                <w:ilvl w:val="0"/>
                <w:numId w:val="27"/>
              </w:numPr>
              <w:ind w:left="214" w:hanging="142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5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  <w:t>....</w:t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5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</w:tr>
    </w:tbl>
    <w:p>
      <w:pPr>
        <w:pStyle w:val="Pismenka"/>
        <w:ind w:left="360" w:hanging="0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Informácie o výnosoch a nákladoch</w:t>
      </w:r>
    </w:p>
    <w:p>
      <w:pPr>
        <w:pStyle w:val="Pismenka"/>
        <w:ind w:left="360" w:hanging="0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numPr>
          <w:ilvl w:val="0"/>
          <w:numId w:val="15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tbl>
      <w:tblPr>
        <w:tblW w:w="10348" w:type="dxa"/>
        <w:jc w:val="left"/>
        <w:tblInd w:w="7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>
        <w:trPr/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70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Opis /číslo účtu a názov/ 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70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Suma k 31.12.2023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70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Suma k 31.12.2022</w:t>
            </w:r>
          </w:p>
        </w:tc>
      </w:tr>
      <w:tr>
        <w:trPr/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70" w:type="dxa"/>
            </w:tcMar>
          </w:tcPr>
          <w:p>
            <w:pPr>
              <w:pStyle w:val="Normal"/>
              <w:numPr>
                <w:ilvl w:val="0"/>
                <w:numId w:val="23"/>
              </w:numPr>
              <w:ind w:left="185" w:hanging="185"/>
              <w:rPr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 xml:space="preserve">tržby za vlastné výkony  a tovar 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300,00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1322,88</w:t>
            </w:r>
          </w:p>
        </w:tc>
      </w:tr>
      <w:tr>
        <w:trPr/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  <w:t>602 - Tržby z predaja služieb z toho:</w:t>
            </w:r>
          </w:p>
          <w:p>
            <w:pPr>
              <w:pStyle w:val="Normal"/>
              <w:numPr>
                <w:ilvl w:val="0"/>
                <w:numId w:val="27"/>
              </w:numPr>
              <w:ind w:left="318" w:hanging="142"/>
              <w:rPr/>
            </w:pPr>
            <w:r>
              <w:rPr/>
              <w:t>školné</w:t>
            </w:r>
          </w:p>
          <w:p>
            <w:pPr>
              <w:pStyle w:val="Normal"/>
              <w:numPr>
                <w:ilvl w:val="0"/>
                <w:numId w:val="27"/>
              </w:numPr>
              <w:ind w:left="318" w:hanging="142"/>
              <w:rPr/>
            </w:pPr>
            <w:r>
              <w:rPr/>
              <w:t>strava</w:t>
            </w:r>
          </w:p>
          <w:p>
            <w:pPr>
              <w:pStyle w:val="Normal"/>
              <w:numPr>
                <w:ilvl w:val="0"/>
                <w:numId w:val="27"/>
              </w:numPr>
              <w:ind w:left="318" w:hanging="142"/>
              <w:rPr/>
            </w:pPr>
            <w:r>
              <w:rPr/>
              <w:t>kopírovacie služby</w:t>
            </w:r>
          </w:p>
          <w:p>
            <w:pPr>
              <w:pStyle w:val="Normal"/>
              <w:numPr>
                <w:ilvl w:val="0"/>
                <w:numId w:val="27"/>
              </w:numPr>
              <w:ind w:left="318" w:hanging="142"/>
              <w:rPr/>
            </w:pPr>
            <w:r>
              <w:rPr/>
              <w:t xml:space="preserve">vyhlasovanie rozhlasom </w:t>
            </w:r>
          </w:p>
          <w:p>
            <w:pPr>
              <w:pStyle w:val="Normal"/>
              <w:numPr>
                <w:ilvl w:val="0"/>
                <w:numId w:val="27"/>
              </w:numPr>
              <w:ind w:left="318" w:hanging="142"/>
              <w:rPr/>
            </w:pPr>
            <w:r>
              <w:rPr/>
              <w:t>vrece na odpad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  <w:t xml:space="preserve">                                             </w:t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jc w:val="right"/>
              <w:rPr/>
            </w:pPr>
            <w:r>
              <w:rPr/>
              <w:t xml:space="preserve">                           </w:t>
            </w:r>
            <w:r>
              <w:rPr/>
              <w:t>300,00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center"/>
              <w:rPr/>
            </w:pPr>
            <w:r>
              <w:rPr/>
            </w:r>
          </w:p>
          <w:p>
            <w:pPr>
              <w:pStyle w:val="Normal"/>
              <w:jc w:val="right"/>
              <w:rPr/>
            </w:pPr>
            <w:r>
              <w:rPr/>
              <w:t>0,00</w:t>
            </w:r>
          </w:p>
          <w:p>
            <w:pPr>
              <w:pStyle w:val="Normal"/>
              <w:jc w:val="right"/>
              <w:rPr/>
            </w:pPr>
            <w:r>
              <w:rPr/>
              <w:t>0,00</w:t>
            </w:r>
          </w:p>
          <w:p>
            <w:pPr>
              <w:pStyle w:val="Normal"/>
              <w:jc w:val="right"/>
              <w:rPr/>
            </w:pPr>
            <w:r>
              <w:rPr/>
              <w:t>200,00</w:t>
            </w:r>
          </w:p>
          <w:p>
            <w:pPr>
              <w:pStyle w:val="Normal"/>
              <w:jc w:val="right"/>
              <w:rPr/>
            </w:pPr>
            <w:r>
              <w:rPr/>
              <w:t>200,00</w:t>
            </w:r>
          </w:p>
          <w:p>
            <w:pPr>
              <w:pStyle w:val="Normal"/>
              <w:jc w:val="right"/>
              <w:rPr/>
            </w:pPr>
            <w:r>
              <w:rPr/>
              <w:t>922,88</w:t>
            </w:r>
          </w:p>
        </w:tc>
      </w:tr>
      <w:tr>
        <w:trPr/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  <w:t>604 - Tržby za tovar z toho:</w:t>
            </w:r>
          </w:p>
          <w:p>
            <w:pPr>
              <w:pStyle w:val="Normal"/>
              <w:numPr>
                <w:ilvl w:val="0"/>
                <w:numId w:val="27"/>
              </w:numPr>
              <w:ind w:left="318" w:hanging="142"/>
              <w:rPr/>
            </w:pPr>
            <w:r>
              <w:rPr/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  <w:t>607 - Výnosy z nehnuteľnosti na predaj z toho:</w:t>
            </w:r>
          </w:p>
          <w:p>
            <w:pPr>
              <w:pStyle w:val="Normal"/>
              <w:numPr>
                <w:ilvl w:val="0"/>
                <w:numId w:val="27"/>
              </w:numPr>
              <w:ind w:left="318" w:hanging="142"/>
              <w:rPr/>
            </w:pPr>
            <w:r>
              <w:rPr/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70" w:type="dxa"/>
            </w:tcMar>
          </w:tcPr>
          <w:p>
            <w:pPr>
              <w:pStyle w:val="Normal"/>
              <w:numPr>
                <w:ilvl w:val="0"/>
                <w:numId w:val="23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zmena stavu vnútroorganizačných zásob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70" w:type="dxa"/>
            </w:tcMar>
          </w:tcPr>
          <w:p>
            <w:pPr>
              <w:pStyle w:val="Normal"/>
              <w:numPr>
                <w:ilvl w:val="0"/>
                <w:numId w:val="23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Aktivácia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  <w:t>622 - Aktivácia vnútroorganizačných služieb z toho:</w:t>
            </w:r>
          </w:p>
          <w:p>
            <w:pPr>
              <w:pStyle w:val="Normal"/>
              <w:numPr>
                <w:ilvl w:val="0"/>
                <w:numId w:val="27"/>
              </w:numPr>
              <w:ind w:left="318" w:hanging="142"/>
              <w:rPr/>
            </w:pPr>
            <w:r>
              <w:rPr/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  <w:t>624 - Aktivácia DHM z toho:</w:t>
            </w:r>
          </w:p>
          <w:p>
            <w:pPr>
              <w:pStyle w:val="Normal"/>
              <w:numPr>
                <w:ilvl w:val="0"/>
                <w:numId w:val="27"/>
              </w:numPr>
              <w:ind w:left="318" w:hanging="142"/>
              <w:rPr/>
            </w:pPr>
            <w:r>
              <w:rPr/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70" w:type="dxa"/>
            </w:tcMar>
          </w:tcPr>
          <w:p>
            <w:pPr>
              <w:pStyle w:val="Normal"/>
              <w:numPr>
                <w:ilvl w:val="0"/>
                <w:numId w:val="23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52 074,15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47 020,59</w:t>
            </w:r>
          </w:p>
        </w:tc>
      </w:tr>
      <w:tr>
        <w:trPr/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  <w:t>632 - Daňové výnosy samosprávy z toho:</w:t>
            </w:r>
          </w:p>
          <w:p>
            <w:pPr>
              <w:pStyle w:val="Normal"/>
              <w:numPr>
                <w:ilvl w:val="0"/>
                <w:numId w:val="27"/>
              </w:numPr>
              <w:ind w:left="318" w:hanging="142"/>
              <w:rPr/>
            </w:pPr>
            <w:r>
              <w:rPr/>
              <w:t>podielové dane</w:t>
            </w:r>
          </w:p>
          <w:p>
            <w:pPr>
              <w:pStyle w:val="Normal"/>
              <w:numPr>
                <w:ilvl w:val="0"/>
                <w:numId w:val="27"/>
              </w:numPr>
              <w:ind w:left="318" w:hanging="142"/>
              <w:rPr/>
            </w:pPr>
            <w:r>
              <w:rPr/>
              <w:t xml:space="preserve">daň z nehnuteľností </w:t>
            </w:r>
          </w:p>
          <w:p>
            <w:pPr>
              <w:pStyle w:val="Normal"/>
              <w:numPr>
                <w:ilvl w:val="0"/>
                <w:numId w:val="27"/>
              </w:numPr>
              <w:ind w:left="318" w:hanging="142"/>
              <w:rPr/>
            </w:pPr>
            <w:r>
              <w:rPr/>
              <w:t>daň za psa</w:t>
            </w:r>
          </w:p>
          <w:p>
            <w:pPr>
              <w:pStyle w:val="Normal"/>
              <w:numPr>
                <w:ilvl w:val="0"/>
                <w:numId w:val="27"/>
              </w:numPr>
              <w:ind w:left="318" w:hanging="142"/>
              <w:rPr/>
            </w:pPr>
            <w:r>
              <w:rPr/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  <w:p>
            <w:pPr>
              <w:pStyle w:val="Normal"/>
              <w:jc w:val="right"/>
              <w:rPr/>
            </w:pPr>
            <w:r>
              <w:rPr/>
              <w:t>43 746,00</w:t>
            </w:r>
          </w:p>
          <w:p>
            <w:pPr>
              <w:pStyle w:val="Normal"/>
              <w:jc w:val="right"/>
              <w:rPr/>
            </w:pPr>
            <w:r>
              <w:rPr/>
              <w:t>3 482,51</w:t>
            </w:r>
          </w:p>
          <w:p>
            <w:pPr>
              <w:pStyle w:val="Normal"/>
              <w:jc w:val="right"/>
              <w:rPr/>
            </w:pPr>
            <w:r>
              <w:rPr/>
              <w:t>135,00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  <w:p>
            <w:pPr>
              <w:pStyle w:val="Normal"/>
              <w:jc w:val="right"/>
              <w:rPr/>
            </w:pPr>
            <w:r>
              <w:rPr/>
              <w:t>42 163,43</w:t>
            </w:r>
          </w:p>
          <w:p>
            <w:pPr>
              <w:pStyle w:val="Normal"/>
              <w:jc w:val="right"/>
              <w:rPr/>
            </w:pPr>
            <w:r>
              <w:rPr/>
              <w:t>2864,74</w:t>
            </w:r>
          </w:p>
        </w:tc>
      </w:tr>
      <w:tr>
        <w:trPr/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  <w:t>633 - Výnosy z poplatkov z toho:</w:t>
            </w:r>
          </w:p>
          <w:p>
            <w:pPr>
              <w:pStyle w:val="Normal"/>
              <w:numPr>
                <w:ilvl w:val="0"/>
                <w:numId w:val="27"/>
              </w:numPr>
              <w:ind w:left="318" w:hanging="142"/>
              <w:rPr/>
            </w:pPr>
            <w:r>
              <w:rPr/>
              <w:t xml:space="preserve">správne poplatky </w:t>
            </w:r>
          </w:p>
          <w:p>
            <w:pPr>
              <w:pStyle w:val="Normal"/>
              <w:numPr>
                <w:ilvl w:val="0"/>
                <w:numId w:val="27"/>
              </w:numPr>
              <w:ind w:left="318" w:hanging="142"/>
              <w:rPr/>
            </w:pPr>
            <w:r>
              <w:rPr/>
              <w:t>KO a DSO</w:t>
            </w:r>
          </w:p>
          <w:p>
            <w:pPr>
              <w:pStyle w:val="Normal"/>
              <w:numPr>
                <w:ilvl w:val="0"/>
                <w:numId w:val="27"/>
              </w:numPr>
              <w:ind w:left="318" w:hanging="142"/>
              <w:rPr/>
            </w:pPr>
            <w:r>
              <w:rPr/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2 032,00</w:t>
            </w:r>
          </w:p>
          <w:p>
            <w:pPr>
              <w:pStyle w:val="Normal"/>
              <w:jc w:val="right"/>
              <w:rPr/>
            </w:pPr>
            <w:r>
              <w:rPr/>
            </w:r>
          </w:p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4524,50</w:t>
            </w:r>
          </w:p>
        </w:tc>
      </w:tr>
      <w:tr>
        <w:trPr/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70" w:type="dxa"/>
            </w:tcMar>
          </w:tcPr>
          <w:p>
            <w:pPr>
              <w:pStyle w:val="Normal"/>
              <w:numPr>
                <w:ilvl w:val="0"/>
                <w:numId w:val="23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finančné výnosy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  <w:t>661 - Tržby z predaja CP z toho:</w:t>
            </w:r>
          </w:p>
          <w:p>
            <w:pPr>
              <w:pStyle w:val="Normal"/>
              <w:numPr>
                <w:ilvl w:val="0"/>
                <w:numId w:val="27"/>
              </w:numPr>
              <w:ind w:left="318" w:hanging="142"/>
              <w:rPr/>
            </w:pPr>
            <w:r>
              <w:rPr/>
              <w:t xml:space="preserve">predaj akcií </w:t>
            </w:r>
          </w:p>
          <w:p>
            <w:pPr>
              <w:pStyle w:val="Normal"/>
              <w:numPr>
                <w:ilvl w:val="0"/>
                <w:numId w:val="27"/>
              </w:numPr>
              <w:ind w:left="318" w:hanging="142"/>
              <w:rPr/>
            </w:pPr>
            <w:r>
              <w:rPr/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  <w:t>662 - Úroky z toho:</w:t>
            </w:r>
          </w:p>
          <w:p>
            <w:pPr>
              <w:pStyle w:val="Normal"/>
              <w:numPr>
                <w:ilvl w:val="0"/>
                <w:numId w:val="27"/>
              </w:numPr>
              <w:ind w:left="318" w:hanging="142"/>
              <w:rPr/>
            </w:pPr>
            <w:r>
              <w:rPr/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  <w:t>668 - Ostatné finančné výnosy z toho:</w:t>
            </w:r>
          </w:p>
          <w:p>
            <w:pPr>
              <w:pStyle w:val="Normal"/>
              <w:numPr>
                <w:ilvl w:val="0"/>
                <w:numId w:val="27"/>
              </w:numPr>
              <w:ind w:left="318" w:hanging="142"/>
              <w:rPr/>
            </w:pPr>
            <w:r>
              <w:rPr/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70" w:type="dxa"/>
            </w:tcMar>
          </w:tcPr>
          <w:p>
            <w:pPr>
              <w:pStyle w:val="Normal"/>
              <w:numPr>
                <w:ilvl w:val="0"/>
                <w:numId w:val="23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>mimoriadne výnosy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  <w:t>672 - Náhrady škôd z toho:</w:t>
            </w:r>
          </w:p>
          <w:p>
            <w:pPr>
              <w:pStyle w:val="Normal"/>
              <w:numPr>
                <w:ilvl w:val="0"/>
                <w:numId w:val="27"/>
              </w:numPr>
              <w:ind w:left="318" w:hanging="142"/>
              <w:rPr/>
            </w:pPr>
            <w:r>
              <w:rPr/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70" w:type="dxa"/>
            </w:tcMar>
          </w:tcPr>
          <w:p>
            <w:pPr>
              <w:pStyle w:val="Normal"/>
              <w:numPr>
                <w:ilvl w:val="0"/>
                <w:numId w:val="23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 xml:space="preserve">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  <w:t>691 - Výnosy z bežných transferov z rozpočtu obce, VÚC z toho:</w:t>
            </w:r>
          </w:p>
          <w:p>
            <w:pPr>
              <w:pStyle w:val="Normal"/>
              <w:numPr>
                <w:ilvl w:val="0"/>
                <w:numId w:val="27"/>
              </w:numPr>
              <w:ind w:left="318" w:hanging="142"/>
              <w:rPr/>
            </w:pPr>
            <w:r>
              <w:rPr/>
              <w:t>bežný transfer na školský klub</w:t>
            </w:r>
          </w:p>
          <w:p>
            <w:pPr>
              <w:pStyle w:val="Normal"/>
              <w:numPr>
                <w:ilvl w:val="0"/>
                <w:numId w:val="27"/>
              </w:numPr>
              <w:ind w:left="318" w:hanging="142"/>
              <w:rPr/>
            </w:pPr>
            <w:r>
              <w:rPr/>
              <w:t xml:space="preserve">bežný transfer na školskú jedáleň </w:t>
            </w:r>
          </w:p>
          <w:p>
            <w:pPr>
              <w:pStyle w:val="Normal"/>
              <w:numPr>
                <w:ilvl w:val="0"/>
                <w:numId w:val="27"/>
              </w:numPr>
              <w:ind w:left="318" w:hanging="142"/>
              <w:rPr/>
            </w:pPr>
            <w:r>
              <w:rPr/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  <w:t>692 - Výnosy z kapitálových transferov z rozpočtu obce, VÚC z toho:</w:t>
            </w:r>
          </w:p>
          <w:p>
            <w:pPr>
              <w:pStyle w:val="Normal"/>
              <w:numPr>
                <w:ilvl w:val="0"/>
                <w:numId w:val="22"/>
              </w:numPr>
              <w:rPr/>
            </w:pPr>
            <w:r>
              <w:rPr/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  <w:t>693 - Výnosy samosprávy z bežných transferov zo ŠR z toho:</w:t>
            </w:r>
          </w:p>
          <w:p>
            <w:pPr>
              <w:pStyle w:val="Normal"/>
              <w:numPr>
                <w:ilvl w:val="0"/>
                <w:numId w:val="27"/>
              </w:numPr>
              <w:ind w:left="318" w:hanging="142"/>
              <w:rPr/>
            </w:pPr>
            <w:r>
              <w:rPr/>
              <w:t xml:space="preserve">bežný transfer na </w:t>
            </w:r>
          </w:p>
          <w:p>
            <w:pPr>
              <w:pStyle w:val="Normal"/>
              <w:numPr>
                <w:ilvl w:val="0"/>
                <w:numId w:val="27"/>
              </w:numPr>
              <w:ind w:left="318" w:hanging="142"/>
              <w:rPr/>
            </w:pPr>
            <w:r>
              <w:rPr/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131 953,58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2713,04</w:t>
            </w:r>
          </w:p>
        </w:tc>
      </w:tr>
      <w:tr>
        <w:trPr/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  <w:t>694 - Výnosy samosprávy z kapitálových transferov zo ŠR z toho:</w:t>
            </w:r>
          </w:p>
          <w:p>
            <w:pPr>
              <w:pStyle w:val="Normal"/>
              <w:numPr>
                <w:ilvl w:val="0"/>
                <w:numId w:val="27"/>
              </w:numPr>
              <w:ind w:left="318" w:hanging="142"/>
              <w:rPr/>
            </w:pPr>
            <w:r>
              <w:rPr/>
              <w:t>zúčtovanie kapitálového transferu zo ŠR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128 951,73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0,00</w:t>
            </w:r>
          </w:p>
        </w:tc>
      </w:tr>
      <w:tr>
        <w:trPr/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  <w:t>695 - Výnosy samosprávy z bežných transferov od EÚ z toho:</w:t>
            </w:r>
          </w:p>
          <w:p>
            <w:pPr>
              <w:pStyle w:val="Normal"/>
              <w:numPr>
                <w:ilvl w:val="0"/>
                <w:numId w:val="27"/>
              </w:numPr>
              <w:ind w:left="318" w:hanging="142"/>
              <w:rPr/>
            </w:pPr>
            <w:r>
              <w:rPr/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  <w:t>696 - Výnosy samosprávy z kapitálových transferov od EÚ z toho:</w:t>
            </w:r>
          </w:p>
          <w:p>
            <w:pPr>
              <w:pStyle w:val="Normal"/>
              <w:numPr>
                <w:ilvl w:val="0"/>
                <w:numId w:val="27"/>
              </w:numPr>
              <w:ind w:left="318" w:hanging="142"/>
              <w:rPr/>
            </w:pPr>
            <w:r>
              <w:rPr/>
              <w:t>zúčtovanie kapitálového transferu od EÚ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  <w:t>697 - Výnosy samosprávy z bežných transferov od ostatných subjektov mimo verejnej správy z toho:</w:t>
            </w:r>
          </w:p>
          <w:p>
            <w:pPr>
              <w:pStyle w:val="Normal"/>
              <w:numPr>
                <w:ilvl w:val="0"/>
                <w:numId w:val="27"/>
              </w:numPr>
              <w:ind w:left="318" w:hanging="142"/>
              <w:rPr/>
            </w:pPr>
            <w:r>
              <w:rPr/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  <w:t>698 - Výnosy samosprávy z kapitálových transferov od ostatných subjektov mimo verejnej správy z toho:</w:t>
            </w:r>
          </w:p>
          <w:p>
            <w:pPr>
              <w:pStyle w:val="Normal"/>
              <w:numPr>
                <w:ilvl w:val="0"/>
                <w:numId w:val="27"/>
              </w:numPr>
              <w:ind w:left="318" w:hanging="142"/>
              <w:rPr/>
            </w:pPr>
            <w:r>
              <w:rPr/>
              <w:t>zúčtovanie kapitálového transferu od ostatných subjektov mimo verejnej správy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  <w:t>699 - Výnosy samosprávy  z odvodu rozpočtových príjmov z toho:</w:t>
            </w:r>
          </w:p>
          <w:p>
            <w:pPr>
              <w:pStyle w:val="Normal"/>
              <w:numPr>
                <w:ilvl w:val="0"/>
                <w:numId w:val="27"/>
              </w:numPr>
              <w:ind w:left="318" w:hanging="142"/>
              <w:rPr/>
            </w:pPr>
            <w:r>
              <w:rPr/>
              <w:t>zinkasované príjmy RO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70" w:type="dxa"/>
            </w:tcMar>
          </w:tcPr>
          <w:p>
            <w:pPr>
              <w:pStyle w:val="Normal"/>
              <w:numPr>
                <w:ilvl w:val="0"/>
                <w:numId w:val="23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ostatné výnosy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  <w:t>641 - Tržby z predaja DNM a DHM z toho:</w:t>
            </w:r>
          </w:p>
          <w:p>
            <w:pPr>
              <w:pStyle w:val="Normal"/>
              <w:numPr>
                <w:ilvl w:val="0"/>
                <w:numId w:val="27"/>
              </w:numPr>
              <w:ind w:left="318" w:hanging="142"/>
              <w:rPr/>
            </w:pPr>
            <w:r>
              <w:rPr/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  <w:t>642 - Tržby z predaja materiálu z toho: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  <w:t>644 - Zmluvné pokuty, penále a úroky z omeškania z toho: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  <w:t>645 - Ostatné pokuty, penále a úroky z omeškania z toho: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  <w:t>646 - Výnosy z odpísaných pohľadávok z toho:</w:t>
            </w:r>
          </w:p>
          <w:p>
            <w:pPr>
              <w:pStyle w:val="Normal"/>
              <w:numPr>
                <w:ilvl w:val="0"/>
                <w:numId w:val="27"/>
              </w:numPr>
              <w:ind w:left="318" w:hanging="142"/>
              <w:rPr/>
            </w:pPr>
            <w:r>
              <w:rPr/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  <w:t>648 - Ostatné výnosy z toho:</w:t>
            </w:r>
          </w:p>
          <w:p>
            <w:pPr>
              <w:pStyle w:val="Normal"/>
              <w:numPr>
                <w:ilvl w:val="0"/>
                <w:numId w:val="27"/>
              </w:numPr>
              <w:ind w:left="318" w:hanging="142"/>
              <w:rPr/>
            </w:pPr>
            <w:r>
              <w:rPr/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70" w:type="dxa"/>
            </w:tcMar>
          </w:tcPr>
          <w:p>
            <w:pPr>
              <w:pStyle w:val="Normal"/>
              <w:numPr>
                <w:ilvl w:val="0"/>
                <w:numId w:val="23"/>
              </w:numPr>
              <w:ind w:left="185" w:hanging="185"/>
              <w:rPr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  <w:t>653 - Zúčtovanie ostatných rezerv z prevádzkovej činnosti z toho:</w:t>
            </w:r>
          </w:p>
          <w:p>
            <w:pPr>
              <w:pStyle w:val="Normal"/>
              <w:numPr>
                <w:ilvl w:val="0"/>
                <w:numId w:val="27"/>
              </w:numPr>
              <w:ind w:left="318" w:hanging="142"/>
              <w:rPr/>
            </w:pPr>
            <w:r>
              <w:rPr/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  <w:t>658 - Zúčtovanie ostatných opravných položiek z prevádzkovej činnosti</w:t>
            </w:r>
          </w:p>
          <w:p>
            <w:pPr>
              <w:pStyle w:val="Normal"/>
              <w:rPr/>
            </w:pPr>
            <w:r>
              <w:rPr/>
              <w:t>z toho:</w:t>
            </w:r>
          </w:p>
          <w:p>
            <w:pPr>
              <w:pStyle w:val="Normal"/>
              <w:numPr>
                <w:ilvl w:val="0"/>
                <w:numId w:val="27"/>
              </w:numPr>
              <w:ind w:left="318" w:hanging="142"/>
              <w:rPr/>
            </w:pPr>
            <w:r>
              <w:rPr/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</w:tbl>
    <w:p>
      <w:pPr>
        <w:pStyle w:val="Normal"/>
        <w:ind w:left="284" w:hanging="0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ind w:left="284" w:hanging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Celková výška výnosov k 31.12.2023 bola vykázaná vo výške 190 887,36 €, čo predstavuje nárast úbytok o 139 415,70 € oproti roku 2022, keď bola celková výška výnosov vykázaná vo výške 51 471,66 €. </w:t>
      </w:r>
    </w:p>
    <w:p>
      <w:pPr>
        <w:pStyle w:val="Normal"/>
        <w:ind w:left="284" w:hanging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Najväčší podiel na výnosoch tvorili výnosy: </w:t>
      </w:r>
    </w:p>
    <w:p>
      <w:pPr>
        <w:pStyle w:val="Normal"/>
        <w:numPr>
          <w:ilvl w:val="0"/>
          <w:numId w:val="22"/>
        </w:numPr>
        <w:tabs>
          <w:tab w:val="left" w:pos="567" w:leader="none"/>
        </w:tabs>
        <w:ind w:left="567" w:hanging="24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podielové dane vo výške  43 746,00 € - ich výška bola ovplyvnená v dôsledku vojny, </w:t>
      </w:r>
    </w:p>
    <w:p>
      <w:pPr>
        <w:pStyle w:val="Normal"/>
        <w:numPr>
          <w:ilvl w:val="0"/>
          <w:numId w:val="22"/>
        </w:numPr>
        <w:tabs>
          <w:tab w:val="left" w:pos="567" w:leader="none"/>
        </w:tabs>
        <w:ind w:left="567" w:hanging="249"/>
        <w:jc w:val="both"/>
        <w:rPr>
          <w:b/>
          <w:b/>
          <w:sz w:val="24"/>
          <w:szCs w:val="24"/>
        </w:rPr>
      </w:pPr>
      <w:r>
        <w:rPr>
          <w:sz w:val="24"/>
          <w:szCs w:val="24"/>
        </w:rPr>
        <w:t>daň z nehnuteľnosti vo výške 2 032,00 €</w:t>
      </w:r>
    </w:p>
    <w:p>
      <w:pPr>
        <w:pStyle w:val="Normal"/>
        <w:numPr>
          <w:ilvl w:val="0"/>
          <w:numId w:val="22"/>
        </w:numPr>
        <w:tabs>
          <w:tab w:val="left" w:pos="567" w:leader="none"/>
        </w:tabs>
        <w:ind w:left="567" w:hanging="249"/>
        <w:jc w:val="both"/>
        <w:rPr>
          <w:b/>
          <w:b/>
          <w:sz w:val="24"/>
          <w:szCs w:val="24"/>
        </w:rPr>
      </w:pPr>
      <w:r>
        <w:rPr>
          <w:sz w:val="24"/>
          <w:szCs w:val="24"/>
        </w:rPr>
        <w:t>poplatok za komunálny odpad vo výške 2 545,00 €</w:t>
      </w:r>
    </w:p>
    <w:p>
      <w:pPr>
        <w:pStyle w:val="Normal"/>
        <w:numPr>
          <w:ilvl w:val="0"/>
          <w:numId w:val="22"/>
        </w:numPr>
        <w:tabs>
          <w:tab w:val="left" w:pos="567" w:leader="none"/>
        </w:tabs>
        <w:ind w:left="567" w:hanging="249"/>
        <w:jc w:val="both"/>
        <w:rPr>
          <w:b/>
          <w:b/>
          <w:sz w:val="24"/>
          <w:szCs w:val="24"/>
        </w:rPr>
      </w:pPr>
      <w:r>
        <w:rPr>
          <w:sz w:val="24"/>
          <w:szCs w:val="24"/>
        </w:rPr>
        <w:t>výnosy z bežných transferov zo ŠR, subjektov verejnej správy vo výške 3 001,85 € /693/</w:t>
      </w:r>
    </w:p>
    <w:p>
      <w:pPr>
        <w:pStyle w:val="Normal"/>
        <w:numPr>
          <w:ilvl w:val="0"/>
          <w:numId w:val="22"/>
        </w:numPr>
        <w:tabs>
          <w:tab w:val="left" w:pos="567" w:leader="none"/>
        </w:tabs>
        <w:ind w:left="567" w:hanging="249"/>
        <w:jc w:val="both"/>
        <w:rPr>
          <w:b/>
          <w:b/>
          <w:sz w:val="24"/>
          <w:szCs w:val="24"/>
        </w:rPr>
      </w:pPr>
      <w:r>
        <w:rPr>
          <w:sz w:val="24"/>
          <w:szCs w:val="24"/>
        </w:rPr>
        <w:t>výnosy z kapitálových transferov zo ŠR, subjektov verejnej správy o výške128 951,73 € (účet 694)</w:t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15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Náklady - opis a výška významných položiek nákladov</w:t>
      </w:r>
    </w:p>
    <w:tbl>
      <w:tblPr>
        <w:tblW w:w="12900" w:type="dxa"/>
        <w:jc w:val="left"/>
        <w:tblInd w:w="7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6095"/>
        <w:gridCol w:w="2268"/>
        <w:gridCol w:w="2267"/>
        <w:gridCol w:w="2269"/>
      </w:tblGrid>
      <w:tr>
        <w:trPr/>
        <w:tc>
          <w:tcPr>
            <w:tcW w:w="6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70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Opis /číslo účtu a názov/ 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70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Suma k 31.12.2023</w:t>
            </w:r>
          </w:p>
        </w:tc>
        <w:tc>
          <w:tcPr>
            <w:tcW w:w="22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70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Suma k 31.12.2022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70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</w:tc>
      </w:tr>
      <w:tr>
        <w:trPr/>
        <w:tc>
          <w:tcPr>
            <w:tcW w:w="6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70" w:type="dxa"/>
            </w:tcMar>
          </w:tcPr>
          <w:p>
            <w:pPr>
              <w:pStyle w:val="Normal"/>
              <w:numPr>
                <w:ilvl w:val="0"/>
                <w:numId w:val="24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7 790,56</w:t>
            </w:r>
          </w:p>
        </w:tc>
        <w:tc>
          <w:tcPr>
            <w:tcW w:w="22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7 775,29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  <w:t>501 - Spotreba materiálu z toho:</w:t>
            </w:r>
          </w:p>
          <w:p>
            <w:pPr>
              <w:pStyle w:val="Normal"/>
              <w:numPr>
                <w:ilvl w:val="0"/>
                <w:numId w:val="27"/>
              </w:numPr>
              <w:ind w:left="318" w:hanging="142"/>
              <w:rPr/>
            </w:pPr>
            <w:r>
              <w:rPr/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5 067,43</w:t>
            </w:r>
          </w:p>
        </w:tc>
        <w:tc>
          <w:tcPr>
            <w:tcW w:w="22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4888,80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  <w:t>502 - Spotreba energie z toho:</w:t>
            </w:r>
          </w:p>
          <w:p>
            <w:pPr>
              <w:pStyle w:val="Normal"/>
              <w:numPr>
                <w:ilvl w:val="0"/>
                <w:numId w:val="27"/>
              </w:numPr>
              <w:ind w:left="318" w:hanging="142"/>
              <w:rPr/>
            </w:pPr>
            <w:r>
              <w:rPr/>
              <w:t>elektrická energia</w:t>
            </w:r>
          </w:p>
          <w:p>
            <w:pPr>
              <w:pStyle w:val="Normal"/>
              <w:numPr>
                <w:ilvl w:val="0"/>
                <w:numId w:val="27"/>
              </w:numPr>
              <w:ind w:left="318" w:hanging="142"/>
              <w:rPr/>
            </w:pPr>
            <w:r>
              <w:rPr/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2 723,13</w:t>
            </w:r>
          </w:p>
        </w:tc>
        <w:tc>
          <w:tcPr>
            <w:tcW w:w="22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2886,49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6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  <w:t>507 - Predaná nehnuteľnosť z toho:</w:t>
            </w:r>
          </w:p>
          <w:p>
            <w:pPr>
              <w:pStyle w:val="Normal"/>
              <w:numPr>
                <w:ilvl w:val="0"/>
                <w:numId w:val="27"/>
              </w:numPr>
              <w:ind w:left="318" w:hanging="142"/>
              <w:rPr/>
            </w:pPr>
            <w:r>
              <w:rPr/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22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70" w:type="dxa"/>
            </w:tcMar>
          </w:tcPr>
          <w:p>
            <w:pPr>
              <w:pStyle w:val="Normal"/>
              <w:numPr>
                <w:ilvl w:val="0"/>
                <w:numId w:val="24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14 820,75</w:t>
            </w:r>
          </w:p>
        </w:tc>
        <w:tc>
          <w:tcPr>
            <w:tcW w:w="22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12580,77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  <w:t>511 - Opravy a udržiavanie z toho:</w:t>
            </w:r>
          </w:p>
          <w:p>
            <w:pPr>
              <w:pStyle w:val="Normal"/>
              <w:numPr>
                <w:ilvl w:val="0"/>
                <w:numId w:val="27"/>
              </w:numPr>
              <w:ind w:left="318" w:hanging="142"/>
              <w:rPr/>
            </w:pPr>
            <w:r>
              <w:rPr/>
              <w:t>oprava xxx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22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  <w:t>512 – Cestovné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1 621,76</w:t>
            </w:r>
          </w:p>
        </w:tc>
        <w:tc>
          <w:tcPr>
            <w:tcW w:w="22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1269,74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  <w:t>513 - Náklady na reprezentáciu  z toho:</w:t>
            </w:r>
          </w:p>
          <w:p>
            <w:pPr>
              <w:pStyle w:val="Normal"/>
              <w:numPr>
                <w:ilvl w:val="0"/>
                <w:numId w:val="27"/>
              </w:numPr>
              <w:ind w:left="318" w:hanging="142"/>
              <w:rPr/>
            </w:pPr>
            <w:r>
              <w:rPr/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22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  <w:t>518 - Ostatné služby z toho:</w:t>
            </w:r>
          </w:p>
          <w:p>
            <w:pPr>
              <w:pStyle w:val="Normal"/>
              <w:numPr>
                <w:ilvl w:val="0"/>
                <w:numId w:val="27"/>
              </w:numPr>
              <w:ind w:left="318" w:hanging="142"/>
              <w:rPr/>
            </w:pPr>
            <w:r>
              <w:rPr/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12 458,84</w:t>
            </w:r>
          </w:p>
        </w:tc>
        <w:tc>
          <w:tcPr>
            <w:tcW w:w="22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11000,04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70" w:type="dxa"/>
            </w:tcMar>
          </w:tcPr>
          <w:p>
            <w:pPr>
              <w:pStyle w:val="Normal"/>
              <w:numPr>
                <w:ilvl w:val="0"/>
                <w:numId w:val="24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31 408,18</w:t>
            </w:r>
          </w:p>
        </w:tc>
        <w:tc>
          <w:tcPr>
            <w:tcW w:w="22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28590,74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  <w:t xml:space="preserve">521 - Mzdové náklady 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23 335,53</w:t>
            </w:r>
          </w:p>
        </w:tc>
        <w:tc>
          <w:tcPr>
            <w:tcW w:w="22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21650,75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7 709,91</w:t>
            </w:r>
          </w:p>
        </w:tc>
        <w:tc>
          <w:tcPr>
            <w:tcW w:w="22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6756,65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22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362,74</w:t>
            </w:r>
          </w:p>
        </w:tc>
        <w:tc>
          <w:tcPr>
            <w:tcW w:w="22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183,34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70" w:type="dxa"/>
            </w:tcMar>
          </w:tcPr>
          <w:p>
            <w:pPr>
              <w:pStyle w:val="Normal"/>
              <w:numPr>
                <w:ilvl w:val="0"/>
                <w:numId w:val="24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22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  <w:t>532 - Daň z nehnuteľností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22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  <w:t>538 - Ostatné dane a poplatky z toho:</w:t>
            </w:r>
          </w:p>
          <w:p>
            <w:pPr>
              <w:pStyle w:val="Normal"/>
              <w:numPr>
                <w:ilvl w:val="0"/>
                <w:numId w:val="27"/>
              </w:numPr>
              <w:ind w:left="318" w:hanging="142"/>
              <w:rPr/>
            </w:pPr>
            <w:r>
              <w:rPr/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22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70" w:type="dxa"/>
            </w:tcMar>
          </w:tcPr>
          <w:p>
            <w:pPr>
              <w:pStyle w:val="Normal"/>
              <w:numPr>
                <w:ilvl w:val="0"/>
                <w:numId w:val="24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>odpisy, rezervy a opravné položky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22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  <w:t>551 - Odpisy  DNM a DHM z toho:</w:t>
            </w:r>
          </w:p>
          <w:p>
            <w:pPr>
              <w:pStyle w:val="Normal"/>
              <w:numPr>
                <w:ilvl w:val="0"/>
                <w:numId w:val="27"/>
              </w:numPr>
              <w:ind w:left="318" w:hanging="142"/>
              <w:rPr/>
            </w:pPr>
            <w:r>
              <w:rPr/>
              <w:t>odpisy z vlastných zdrojov</w:t>
            </w:r>
          </w:p>
          <w:p>
            <w:pPr>
              <w:pStyle w:val="Normal"/>
              <w:numPr>
                <w:ilvl w:val="0"/>
                <w:numId w:val="27"/>
              </w:numPr>
              <w:ind w:left="318" w:hanging="142"/>
              <w:rPr/>
            </w:pPr>
            <w:r>
              <w:rPr/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154 114,56</w:t>
            </w:r>
          </w:p>
        </w:tc>
        <w:tc>
          <w:tcPr>
            <w:tcW w:w="22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8438,82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  <w:t>553 - Tvorba ostatných rezerv z toho:</w:t>
            </w:r>
          </w:p>
          <w:p>
            <w:pPr>
              <w:pStyle w:val="Normal"/>
              <w:numPr>
                <w:ilvl w:val="0"/>
                <w:numId w:val="27"/>
              </w:numPr>
              <w:ind w:left="318" w:hanging="142"/>
              <w:rPr/>
            </w:pPr>
            <w:r>
              <w:rPr/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22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  <w:t>558 - Tvorba ostatných opravných položiek z toho:</w:t>
            </w:r>
          </w:p>
          <w:p>
            <w:pPr>
              <w:pStyle w:val="Normal"/>
              <w:numPr>
                <w:ilvl w:val="0"/>
                <w:numId w:val="27"/>
              </w:numPr>
              <w:ind w:left="318" w:hanging="142"/>
              <w:rPr/>
            </w:pPr>
            <w:r>
              <w:rPr/>
              <w:t>k daňovým pohľadávkam</w:t>
            </w:r>
          </w:p>
          <w:p>
            <w:pPr>
              <w:pStyle w:val="Normal"/>
              <w:numPr>
                <w:ilvl w:val="0"/>
                <w:numId w:val="27"/>
              </w:numPr>
              <w:ind w:left="318" w:hanging="142"/>
              <w:rPr/>
            </w:pPr>
            <w:r>
              <w:rPr/>
              <w:t>k nedaňovým pohľadávkam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22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70" w:type="dxa"/>
            </w:tcMar>
          </w:tcPr>
          <w:p>
            <w:pPr>
              <w:pStyle w:val="Normal"/>
              <w:numPr>
                <w:ilvl w:val="0"/>
                <w:numId w:val="24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304,18</w:t>
            </w:r>
          </w:p>
        </w:tc>
        <w:tc>
          <w:tcPr>
            <w:tcW w:w="22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156,45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  <w:t>561 - Predané CP a podiely z toho:</w:t>
            </w:r>
          </w:p>
          <w:p>
            <w:pPr>
              <w:pStyle w:val="Normal"/>
              <w:numPr>
                <w:ilvl w:val="0"/>
                <w:numId w:val="27"/>
              </w:numPr>
              <w:ind w:left="318" w:hanging="142"/>
              <w:rPr/>
            </w:pPr>
            <w:r>
              <w:rPr/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22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  <w:t>562 - Úroky z toho:</w:t>
            </w:r>
          </w:p>
          <w:p>
            <w:pPr>
              <w:pStyle w:val="Normal"/>
              <w:numPr>
                <w:ilvl w:val="0"/>
                <w:numId w:val="27"/>
              </w:numPr>
              <w:ind w:left="318" w:hanging="142"/>
              <w:rPr/>
            </w:pPr>
            <w:r>
              <w:rPr/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22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  <w:t>568 - Ostatné finančné náklady z toho:</w:t>
            </w:r>
          </w:p>
          <w:p>
            <w:pPr>
              <w:pStyle w:val="Normal"/>
              <w:numPr>
                <w:ilvl w:val="0"/>
                <w:numId w:val="27"/>
              </w:numPr>
              <w:ind w:left="318" w:hanging="142"/>
              <w:rPr/>
            </w:pPr>
            <w:r>
              <w:rPr/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304,18</w:t>
            </w:r>
          </w:p>
        </w:tc>
        <w:tc>
          <w:tcPr>
            <w:tcW w:w="22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156,45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70" w:type="dxa"/>
            </w:tcMar>
          </w:tcPr>
          <w:p>
            <w:pPr>
              <w:pStyle w:val="Normal"/>
              <w:numPr>
                <w:ilvl w:val="0"/>
                <w:numId w:val="24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22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  <w:t>572 - Škody z toho:</w:t>
            </w:r>
          </w:p>
          <w:p>
            <w:pPr>
              <w:pStyle w:val="Normal"/>
              <w:numPr>
                <w:ilvl w:val="0"/>
                <w:numId w:val="27"/>
              </w:numPr>
              <w:ind w:left="318" w:hanging="142"/>
              <w:rPr/>
            </w:pPr>
            <w:r>
              <w:rPr/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22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70" w:type="dxa"/>
            </w:tcMar>
          </w:tcPr>
          <w:p>
            <w:pPr>
              <w:pStyle w:val="Normal"/>
              <w:numPr>
                <w:ilvl w:val="0"/>
                <w:numId w:val="24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>náklady na transfery a náklady z odvodov príjmov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22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  <w:t>584 - Náklady na transfery z rozpočtu obce, VÚC do RO, PO zriadených obcou alebo VÚC z toho:</w:t>
            </w:r>
          </w:p>
          <w:p>
            <w:pPr>
              <w:pStyle w:val="Normal"/>
              <w:numPr>
                <w:ilvl w:val="0"/>
                <w:numId w:val="27"/>
              </w:numPr>
              <w:ind w:left="318" w:hanging="142"/>
              <w:rPr/>
            </w:pPr>
            <w:r>
              <w:rPr/>
              <w:t>bežný transfer xxx</w:t>
            </w:r>
          </w:p>
          <w:p>
            <w:pPr>
              <w:pStyle w:val="Normal"/>
              <w:numPr>
                <w:ilvl w:val="0"/>
                <w:numId w:val="27"/>
              </w:numPr>
              <w:ind w:left="318" w:hanging="142"/>
              <w:rPr/>
            </w:pPr>
            <w:r>
              <w:rPr/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22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  <w:t>585 - Náklady na transfery z rozpočtu obce, VÚC ostatným subjektov verejnej správy z toho:</w:t>
            </w:r>
          </w:p>
          <w:p>
            <w:pPr>
              <w:pStyle w:val="Normal"/>
              <w:numPr>
                <w:ilvl w:val="0"/>
                <w:numId w:val="27"/>
              </w:numPr>
              <w:ind w:left="318" w:hanging="142"/>
              <w:rPr/>
            </w:pPr>
            <w:r>
              <w:rPr/>
              <w:t>bežný transfer xxx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22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  <w:t>586 - Náklady na transfery z rozpočtu obce, VÚC subjektov mimo verejnej správy z toho:</w:t>
            </w:r>
          </w:p>
          <w:p>
            <w:pPr>
              <w:pStyle w:val="Normal"/>
              <w:numPr>
                <w:ilvl w:val="0"/>
                <w:numId w:val="27"/>
              </w:numPr>
              <w:ind w:left="318" w:hanging="142"/>
              <w:rPr/>
            </w:pPr>
            <w:r>
              <w:rPr/>
              <w:t>bežný transfer xxx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22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  <w:t>587 - Náklady na ostatné transfery z toho:</w:t>
            </w:r>
          </w:p>
          <w:p>
            <w:pPr>
              <w:pStyle w:val="Normal"/>
              <w:numPr>
                <w:ilvl w:val="0"/>
                <w:numId w:val="27"/>
              </w:numPr>
              <w:ind w:left="318" w:hanging="142"/>
              <w:rPr>
                <w:b/>
                <w:b/>
              </w:rPr>
            </w:pPr>
            <w:r>
              <w:rPr/>
              <w:t>bežný transfer xxx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22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  <w:t>588 - Náklady z odvodu príjmov z toho:</w:t>
            </w:r>
          </w:p>
          <w:p>
            <w:pPr>
              <w:pStyle w:val="Normal"/>
              <w:numPr>
                <w:ilvl w:val="0"/>
                <w:numId w:val="27"/>
              </w:numPr>
              <w:ind w:left="318" w:hanging="142"/>
              <w:rPr/>
            </w:pPr>
            <w:r>
              <w:rPr/>
              <w:t>predpis odvodu príjmov RO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22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  <w:t>589 - Náklady z budúceho odvodu príjmov z toho:</w:t>
            </w:r>
          </w:p>
          <w:p>
            <w:pPr>
              <w:pStyle w:val="Normal"/>
              <w:numPr>
                <w:ilvl w:val="0"/>
                <w:numId w:val="27"/>
              </w:numPr>
              <w:ind w:left="318" w:hanging="142"/>
              <w:rPr/>
            </w:pPr>
            <w:r>
              <w:rPr/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22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70" w:type="dxa"/>
            </w:tcMar>
          </w:tcPr>
          <w:p>
            <w:pPr>
              <w:pStyle w:val="Normal"/>
              <w:numPr>
                <w:ilvl w:val="0"/>
                <w:numId w:val="24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22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  <w:t>541 - ZC predaného DNM a DHM z toho:</w:t>
            </w:r>
          </w:p>
          <w:p>
            <w:pPr>
              <w:pStyle w:val="Normal"/>
              <w:numPr>
                <w:ilvl w:val="0"/>
                <w:numId w:val="27"/>
              </w:numPr>
              <w:ind w:left="318" w:hanging="142"/>
              <w:rPr/>
            </w:pPr>
            <w:r>
              <w:rPr/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22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  <w:t>542 - Predaný materiál z toho:</w:t>
            </w:r>
          </w:p>
          <w:p>
            <w:pPr>
              <w:pStyle w:val="Normal"/>
              <w:numPr>
                <w:ilvl w:val="0"/>
                <w:numId w:val="27"/>
              </w:numPr>
              <w:ind w:left="318" w:hanging="142"/>
              <w:rPr/>
            </w:pPr>
            <w:r>
              <w:rPr/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22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  <w:t>544 - Zmluvné pokuty, penále a úroky z omeškania z toho:</w:t>
            </w:r>
          </w:p>
          <w:p>
            <w:pPr>
              <w:pStyle w:val="Normal"/>
              <w:numPr>
                <w:ilvl w:val="0"/>
                <w:numId w:val="27"/>
              </w:numPr>
              <w:ind w:left="318" w:hanging="142"/>
              <w:rPr/>
            </w:pPr>
            <w:r>
              <w:rPr/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22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  <w:t>545 - Ostatné pokuty, penále a úroky z omeškania z toho:</w:t>
            </w:r>
          </w:p>
          <w:p>
            <w:pPr>
              <w:pStyle w:val="Normal"/>
              <w:numPr>
                <w:ilvl w:val="0"/>
                <w:numId w:val="27"/>
              </w:numPr>
              <w:ind w:left="318" w:hanging="142"/>
              <w:rPr/>
            </w:pPr>
            <w:r>
              <w:rPr/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22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  <w:t>546 - Odpis pohľadávky z toho:</w:t>
            </w:r>
          </w:p>
          <w:p>
            <w:pPr>
              <w:pStyle w:val="Normal"/>
              <w:numPr>
                <w:ilvl w:val="0"/>
                <w:numId w:val="27"/>
              </w:numPr>
              <w:ind w:left="318" w:hanging="142"/>
              <w:rPr/>
            </w:pPr>
            <w:r>
              <w:rPr/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22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  <w:t>548 - Ostatné náklady na prevádzkovú činnosť z toho:</w:t>
            </w:r>
          </w:p>
          <w:p>
            <w:pPr>
              <w:pStyle w:val="Normal"/>
              <w:numPr>
                <w:ilvl w:val="0"/>
                <w:numId w:val="27"/>
              </w:numPr>
              <w:ind w:left="318" w:hanging="142"/>
              <w:rPr/>
            </w:pPr>
            <w:r>
              <w:rPr/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22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  <w:t>549 - Manká a škody z toho:</w:t>
            </w:r>
          </w:p>
          <w:p>
            <w:pPr>
              <w:pStyle w:val="Normal"/>
              <w:numPr>
                <w:ilvl w:val="0"/>
                <w:numId w:val="27"/>
              </w:numPr>
              <w:ind w:left="318" w:hanging="142"/>
              <w:rPr/>
            </w:pPr>
            <w:r>
              <w:rPr/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22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numPr>
                <w:ilvl w:val="0"/>
                <w:numId w:val="24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>dane z príjmov</w:t>
            </w:r>
          </w:p>
          <w:p>
            <w:pPr>
              <w:pStyle w:val="Normal"/>
              <w:rPr/>
            </w:pPr>
            <w:r>
              <w:rPr/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22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</w:tbl>
    <w:p>
      <w:pPr>
        <w:pStyle w:val="Normal"/>
        <w:ind w:left="284" w:hanging="0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ind w:left="284" w:hanging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Celková výška nákladov k 31.12.2023 bola vykázaná vo výške 208 491,28 €, čo predstavuje nárast nákladov oproti roku 2022, keď bola celková výška nákladov vykázaná vo výške 57 818,07 €. </w:t>
      </w:r>
    </w:p>
    <w:p>
      <w:pPr>
        <w:pStyle w:val="Normal"/>
        <w:ind w:left="284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284" w:hanging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Najväčší podiel na nákladoch tvorili náklady: </w:t>
      </w:r>
    </w:p>
    <w:p>
      <w:pPr>
        <w:pStyle w:val="ListParagraph"/>
        <w:numPr>
          <w:ilvl w:val="0"/>
          <w:numId w:val="22"/>
        </w:numPr>
        <w:jc w:val="both"/>
        <w:rPr>
          <w:sz w:val="24"/>
          <w:szCs w:val="24"/>
        </w:rPr>
      </w:pPr>
      <w:r>
        <w:rPr>
          <w:sz w:val="24"/>
          <w:szCs w:val="24"/>
        </w:rPr>
        <w:t>z odpisov dlhodobého hmotného majetku obce vo výške 154 114,56 €.</w:t>
      </w:r>
    </w:p>
    <w:p>
      <w:pPr>
        <w:pStyle w:val="Normal"/>
        <w:ind w:left="284" w:hanging="0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15"/>
        </w:numPr>
        <w:tabs>
          <w:tab w:val="left" w:pos="567" w:leader="none"/>
        </w:tabs>
        <w:ind w:left="284" w:hanging="284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Náklady voči audítorovi alebo audítorskej spoločnosti - platí len pre subjekty verejného záujmu</w:t>
      </w:r>
    </w:p>
    <w:tbl>
      <w:tblPr>
        <w:tblW w:w="10206" w:type="dxa"/>
        <w:jc w:val="left"/>
        <w:tblInd w:w="7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6096"/>
        <w:gridCol w:w="4109"/>
      </w:tblGrid>
      <w:tr>
        <w:trPr/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>
                <w:b/>
              </w:rPr>
              <w:t>Osobitné náklady podľa § 18 ods.6 zákona o účtovníctve v z.n.p.</w:t>
            </w:r>
          </w:p>
        </w:tc>
        <w:tc>
          <w:tcPr>
            <w:tcW w:w="41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70" w:type="dxa"/>
            </w:tcMar>
          </w:tcPr>
          <w:p>
            <w:pPr>
              <w:pStyle w:val="Normal"/>
              <w:jc w:val="center"/>
              <w:rPr/>
            </w:pPr>
            <w:r>
              <w:rPr>
                <w:b/>
              </w:rPr>
              <w:t>Suma k 31.12.2023</w:t>
            </w:r>
          </w:p>
        </w:tc>
      </w:tr>
      <w:tr>
        <w:trPr/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  <w:t>Náklady voči audítorovi alebo audítorskej spoločnosti v členení na náklady za:</w:t>
            </w:r>
          </w:p>
        </w:tc>
        <w:tc>
          <w:tcPr>
            <w:tcW w:w="41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0,00</w:t>
            </w:r>
          </w:p>
        </w:tc>
      </w:tr>
      <w:tr>
        <w:trPr/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numPr>
                <w:ilvl w:val="0"/>
                <w:numId w:val="25"/>
              </w:numPr>
              <w:ind w:left="356" w:hanging="284"/>
              <w:rPr/>
            </w:pPr>
            <w:r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41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0,00</w:t>
            </w:r>
          </w:p>
        </w:tc>
      </w:tr>
      <w:tr>
        <w:trPr/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numPr>
                <w:ilvl w:val="0"/>
                <w:numId w:val="25"/>
              </w:numPr>
              <w:ind w:left="356" w:hanging="284"/>
              <w:rPr/>
            </w:pPr>
            <w:r>
              <w:rPr>
                <w:rFonts w:ascii="ms sans serif" w:hAnsi="ms sans serif"/>
              </w:rPr>
              <w:t>uisťovacie audítorské služby s výnimkou overenia účtovnej závierky</w:t>
            </w:r>
          </w:p>
        </w:tc>
        <w:tc>
          <w:tcPr>
            <w:tcW w:w="41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0</w:t>
            </w:r>
          </w:p>
        </w:tc>
      </w:tr>
      <w:tr>
        <w:trPr/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numPr>
                <w:ilvl w:val="0"/>
                <w:numId w:val="25"/>
              </w:numPr>
              <w:ind w:left="356" w:hanging="284"/>
              <w:rPr/>
            </w:pPr>
            <w:r>
              <w:rPr>
                <w:rFonts w:ascii="ms sans serif" w:hAnsi="ms sans serif"/>
              </w:rPr>
              <w:t>daňové poradenstvo,</w:t>
            </w:r>
          </w:p>
        </w:tc>
        <w:tc>
          <w:tcPr>
            <w:tcW w:w="41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0</w:t>
            </w:r>
          </w:p>
        </w:tc>
      </w:tr>
      <w:tr>
        <w:trPr/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numPr>
                <w:ilvl w:val="0"/>
                <w:numId w:val="25"/>
              </w:numPr>
              <w:ind w:left="356" w:hanging="284"/>
              <w:rPr/>
            </w:pPr>
            <w:r>
              <w:rPr>
                <w:rFonts w:ascii="ms sans serif" w:hAnsi="ms sans serif"/>
              </w:rPr>
              <w:t>ostatné neaudítorské služby</w:t>
            </w:r>
          </w:p>
        </w:tc>
        <w:tc>
          <w:tcPr>
            <w:tcW w:w="41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0</w:t>
            </w:r>
          </w:p>
        </w:tc>
      </w:tr>
    </w:tbl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Pismenka"/>
        <w:ind w:left="0" w:hanging="0"/>
        <w:rPr>
          <w:b w:val="false"/>
          <w:b w:val="false"/>
          <w:bCs/>
          <w:color w:val="FF0000"/>
          <w:sz w:val="24"/>
          <w:szCs w:val="24"/>
        </w:rPr>
      </w:pPr>
      <w:r>
        <w:rPr>
          <w:b w:val="false"/>
          <w:bCs/>
          <w:color w:val="FF0000"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16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tbl>
      <w:tblPr>
        <w:tblW w:w="10080" w:type="dxa"/>
        <w:jc w:val="left"/>
        <w:tblInd w:w="7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4139"/>
        <w:gridCol w:w="3061"/>
        <w:gridCol w:w="2880"/>
      </w:tblGrid>
      <w:tr>
        <w:trPr/>
        <w:tc>
          <w:tcPr>
            <w:tcW w:w="4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70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Opis významných položiek </w:t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majetku a záväzkov </w:t>
            </w:r>
          </w:p>
        </w:tc>
        <w:tc>
          <w:tcPr>
            <w:tcW w:w="30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70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Hodnota majetku </w:t>
            </w:r>
          </w:p>
        </w:tc>
        <w:tc>
          <w:tcPr>
            <w:tcW w:w="28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70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Forma zabezpečenia</w:t>
            </w:r>
          </w:p>
        </w:tc>
      </w:tr>
      <w:tr>
        <w:trPr/>
        <w:tc>
          <w:tcPr>
            <w:tcW w:w="4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30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28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4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30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28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4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30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28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</w:tr>
    </w:tbl>
    <w:p>
      <w:pPr>
        <w:pStyle w:val="Normal"/>
        <w:ind w:left="284" w:hanging="0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16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Ďalšie informácie </w:t>
      </w:r>
    </w:p>
    <w:tbl>
      <w:tblPr>
        <w:tblW w:w="10065" w:type="dxa"/>
        <w:jc w:val="left"/>
        <w:tblInd w:w="7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4110"/>
        <w:gridCol w:w="3119"/>
        <w:gridCol w:w="2836"/>
      </w:tblGrid>
      <w:tr>
        <w:trPr/>
        <w:tc>
          <w:tcPr>
            <w:tcW w:w="4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70" w:type="dxa"/>
            </w:tcMar>
          </w:tcPr>
          <w:p>
            <w:pPr>
              <w:pStyle w:val="Normal"/>
              <w:jc w:val="center"/>
              <w:rPr>
                <w:b/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70" w:type="dxa"/>
            </w:tcMar>
          </w:tcPr>
          <w:p>
            <w:pPr>
              <w:pStyle w:val="Normal"/>
              <w:jc w:val="center"/>
              <w:rPr>
                <w:b/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70" w:type="dxa"/>
            </w:tcMar>
          </w:tcPr>
          <w:p>
            <w:pPr>
              <w:pStyle w:val="Normal"/>
              <w:jc w:val="center"/>
              <w:rPr>
                <w:b/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Účet</w:t>
            </w:r>
          </w:p>
        </w:tc>
      </w:tr>
      <w:tr>
        <w:trPr/>
        <w:tc>
          <w:tcPr>
            <w:tcW w:w="4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/>
        <w:tc>
          <w:tcPr>
            <w:tcW w:w="4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/>
        <w:tc>
          <w:tcPr>
            <w:tcW w:w="4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/>
        <w:tc>
          <w:tcPr>
            <w:tcW w:w="4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/>
        <w:tc>
          <w:tcPr>
            <w:tcW w:w="4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/>
        <w:tc>
          <w:tcPr>
            <w:tcW w:w="4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/>
        <w:tc>
          <w:tcPr>
            <w:tcW w:w="4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Iné napr. drobný nehmotný majetok </w:t>
            </w:r>
          </w:p>
        </w:tc>
        <w:tc>
          <w:tcPr>
            <w:tcW w:w="31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/>
        <w:tc>
          <w:tcPr>
            <w:tcW w:w="4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napr. drobný hmotný majetok</w:t>
            </w:r>
          </w:p>
        </w:tc>
        <w:tc>
          <w:tcPr>
            <w:tcW w:w="31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/>
        <w:tc>
          <w:tcPr>
            <w:tcW w:w="4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......</w:t>
            </w:r>
          </w:p>
        </w:tc>
        <w:tc>
          <w:tcPr>
            <w:tcW w:w="31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</w:tbl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>
      <w:pPr>
        <w:pStyle w:val="Pismenka"/>
        <w:ind w:left="360" w:hanging="0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numPr>
          <w:ilvl w:val="0"/>
          <w:numId w:val="17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>
      <w:pPr>
        <w:pStyle w:val="Pismenka"/>
        <w:numPr>
          <w:ilvl w:val="0"/>
          <w:numId w:val="18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sz w:val="24"/>
          <w:szCs w:val="24"/>
        </w:rPr>
        <w:t>opis a hodnota iných aktív</w:t>
      </w:r>
      <w:r>
        <w:rPr>
          <w:b w:val="false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</w:t>
      </w:r>
    </w:p>
    <w:p>
      <w:pPr>
        <w:pStyle w:val="Pismenka"/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Obec nevedie  súdny spor.</w:t>
      </w:r>
    </w:p>
    <w:p>
      <w:pPr>
        <w:pStyle w:val="Pismenka"/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Textová časť k tabuľke č.10 - riadok 03 obsahuje údaje o budúcom práve účtovnej jednotky zo zmlúv o poskytnutí nenávratného finančného príspevku.  </w:t>
      </w:r>
    </w:p>
    <w:p>
      <w:pPr>
        <w:pStyle w:val="Normal"/>
        <w:rPr/>
      </w:pPr>
      <w:r>
        <w:rPr/>
      </w:r>
    </w:p>
    <w:tbl>
      <w:tblPr>
        <w:tblW w:w="10065" w:type="dxa"/>
        <w:jc w:val="left"/>
        <w:tblInd w:w="7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1984"/>
        <w:gridCol w:w="993"/>
        <w:gridCol w:w="1984"/>
        <w:gridCol w:w="1701"/>
        <w:gridCol w:w="3403"/>
      </w:tblGrid>
      <w:tr>
        <w:trPr/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70" w:type="dxa"/>
            </w:tcMar>
          </w:tcPr>
          <w:p>
            <w:pPr>
              <w:pStyle w:val="Normal"/>
              <w:jc w:val="center"/>
              <w:rPr>
                <w:b/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Názov poskytovateľa </w:t>
            </w:r>
          </w:p>
          <w:p>
            <w:pPr>
              <w:pStyle w:val="Normal"/>
              <w:jc w:val="center"/>
              <w:rPr>
                <w:b/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nenávratného finančného príspevku</w:t>
            </w:r>
          </w:p>
          <w:p>
            <w:pPr>
              <w:pStyle w:val="Normal"/>
              <w:rPr>
                <w:b/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</w:r>
          </w:p>
          <w:p>
            <w:pPr>
              <w:pStyle w:val="Normal"/>
              <w:jc w:val="center"/>
              <w:rPr>
                <w:b/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</w:r>
          </w:p>
        </w:tc>
        <w:tc>
          <w:tcPr>
            <w:tcW w:w="9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70" w:type="dxa"/>
            </w:tcMar>
          </w:tcPr>
          <w:p>
            <w:pPr>
              <w:pStyle w:val="Normal"/>
              <w:jc w:val="center"/>
              <w:rPr>
                <w:b/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70" w:type="dxa"/>
            </w:tcMar>
          </w:tcPr>
          <w:p>
            <w:pPr>
              <w:pStyle w:val="Normal"/>
              <w:jc w:val="center"/>
              <w:rPr>
                <w:b/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</w:r>
          </w:p>
          <w:p>
            <w:pPr>
              <w:pStyle w:val="Normal"/>
              <w:jc w:val="center"/>
              <w:rPr>
                <w:b/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70" w:type="dxa"/>
            </w:tcMar>
          </w:tcPr>
          <w:p>
            <w:pPr>
              <w:pStyle w:val="Normal"/>
              <w:jc w:val="center"/>
              <w:rPr>
                <w:b/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</w:r>
          </w:p>
          <w:p>
            <w:pPr>
              <w:pStyle w:val="Normal"/>
              <w:jc w:val="center"/>
              <w:rPr>
                <w:b/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70" w:type="dxa"/>
            </w:tcMar>
          </w:tcPr>
          <w:p>
            <w:pPr>
              <w:pStyle w:val="Normal"/>
              <w:jc w:val="center"/>
              <w:rPr>
                <w:b/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Hodnota prefinancovaných nákladov z vlastných prostriedkov alebo z úverových zdrojov neuhradených/nerefundovaných  poskytovateľom NFP k 31.12.2023</w:t>
            </w:r>
          </w:p>
        </w:tc>
      </w:tr>
      <w:tr>
        <w:trPr/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3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/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3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/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3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</w:tbl>
    <w:p>
      <w:pPr>
        <w:pStyle w:val="Pismenka"/>
        <w:ind w:left="0" w:hanging="0"/>
        <w:rPr>
          <w:b w:val="false"/>
          <w:b w:val="false"/>
          <w:color w:val="FF0000"/>
          <w:sz w:val="24"/>
          <w:szCs w:val="24"/>
        </w:rPr>
      </w:pPr>
      <w:r>
        <w:rPr>
          <w:b w:val="false"/>
          <w:color w:val="FF0000"/>
          <w:sz w:val="24"/>
          <w:szCs w:val="24"/>
        </w:rPr>
      </w:r>
    </w:p>
    <w:p>
      <w:pPr>
        <w:pStyle w:val="Pismenka"/>
        <w:numPr>
          <w:ilvl w:val="0"/>
          <w:numId w:val="18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sz w:val="24"/>
          <w:szCs w:val="24"/>
        </w:rPr>
        <w:t>opis a hodnota iných pasív</w:t>
      </w:r>
      <w:r>
        <w:rPr>
          <w:b w:val="false"/>
          <w:sz w:val="24"/>
          <w:szCs w:val="24"/>
        </w:rPr>
        <w:t>, vyplývajúcich zo súdnych rozhodnutí, z poskytnutých záruk, zo všeobecne záväzných právnych predpisov, z ručenia podľa jednotlivých druhov ručenia, takýmito inými pasívami sú:</w:t>
      </w:r>
    </w:p>
    <w:p>
      <w:pPr>
        <w:pStyle w:val="Pismenka"/>
        <w:numPr>
          <w:ilvl w:val="0"/>
          <w:numId w:val="19"/>
        </w:numPr>
        <w:rPr>
          <w:b w:val="false"/>
          <w:b w:val="false"/>
          <w:sz w:val="24"/>
          <w:szCs w:val="24"/>
        </w:rPr>
      </w:pPr>
      <w:r>
        <w:rPr>
          <w:sz w:val="24"/>
          <w:szCs w:val="24"/>
        </w:rPr>
        <w:t>možná povinnosť</w:t>
      </w:r>
      <w:r>
        <w:rPr>
          <w:b w:val="false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>
      <w:pPr>
        <w:pStyle w:val="Pismenka"/>
        <w:numPr>
          <w:ilvl w:val="0"/>
          <w:numId w:val="19"/>
        </w:numPr>
        <w:rPr>
          <w:b w:val="false"/>
          <w:b w:val="false"/>
          <w:sz w:val="24"/>
          <w:szCs w:val="24"/>
        </w:rPr>
      </w:pPr>
      <w:r>
        <w:rPr>
          <w:sz w:val="24"/>
          <w:szCs w:val="24"/>
        </w:rPr>
        <w:t xml:space="preserve">povinnosť, </w:t>
      </w:r>
      <w:r>
        <w:rPr>
          <w:b w:val="false"/>
          <w:sz w:val="24"/>
          <w:szCs w:val="24"/>
        </w:rPr>
        <w:t xml:space="preserve">ktorá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>
      <w:pPr>
        <w:pStyle w:val="Pismenka"/>
        <w:rPr>
          <w:b w:val="false"/>
          <w:b w:val="false"/>
          <w:color w:val="FF0000"/>
          <w:sz w:val="24"/>
          <w:szCs w:val="24"/>
        </w:rPr>
      </w:pPr>
      <w:r>
        <w:rPr>
          <w:b w:val="false"/>
          <w:sz w:val="24"/>
          <w:szCs w:val="24"/>
        </w:rPr>
        <w:t>- tabuľka č.10.</w:t>
      </w:r>
    </w:p>
    <w:p>
      <w:pPr>
        <w:pStyle w:val="Pismenka"/>
        <w:ind w:left="0" w:hanging="0"/>
        <w:rPr>
          <w:b w:val="false"/>
          <w:b w:val="false"/>
          <w:color w:val="FF0000"/>
          <w:sz w:val="24"/>
          <w:szCs w:val="24"/>
        </w:rPr>
      </w:pPr>
      <w:r>
        <w:rPr>
          <w:b w:val="false"/>
          <w:sz w:val="24"/>
          <w:szCs w:val="24"/>
        </w:rPr>
        <w:t xml:space="preserve">Textová časť k tabuľke č.10 </w:t>
      </w:r>
    </w:p>
    <w:p>
      <w:pPr>
        <w:pStyle w:val="Pismenka"/>
        <w:numPr>
          <w:ilvl w:val="0"/>
          <w:numId w:val="18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zoznam </w:t>
      </w:r>
      <w:r>
        <w:rPr>
          <w:sz w:val="24"/>
          <w:szCs w:val="24"/>
        </w:rPr>
        <w:t>nehnuteľných kultúrnych pamiatok</w:t>
      </w:r>
      <w:r>
        <w:rPr>
          <w:b w:val="false"/>
          <w:sz w:val="24"/>
          <w:szCs w:val="24"/>
        </w:rPr>
        <w:t xml:space="preserve"> v správe alebo vo vlastníctve účtovnej jednotky - tabuľka č.11</w:t>
      </w:r>
    </w:p>
    <w:p>
      <w:pPr>
        <w:pStyle w:val="Pismenka"/>
        <w:jc w:val="left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Textová časť k tabuľke č.11 </w:t>
      </w:r>
    </w:p>
    <w:p>
      <w:pPr>
        <w:pStyle w:val="Pismenka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numPr>
          <w:ilvl w:val="0"/>
          <w:numId w:val="18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informácia, či sú </w:t>
      </w:r>
      <w:r>
        <w:rPr>
          <w:sz w:val="24"/>
          <w:szCs w:val="24"/>
        </w:rPr>
        <w:t>iné aktíva a iné pasíva vykázané</w:t>
      </w:r>
      <w:r>
        <w:rPr>
          <w:b w:val="false"/>
          <w:sz w:val="24"/>
          <w:szCs w:val="24"/>
        </w:rPr>
        <w:t xml:space="preserve"> voči účtovnej jednotke súhrnného celku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tbl>
      <w:tblPr>
        <w:tblW w:w="10065" w:type="dxa"/>
        <w:jc w:val="left"/>
        <w:tblInd w:w="7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2409"/>
        <w:gridCol w:w="4536"/>
        <w:gridCol w:w="3120"/>
      </w:tblGrid>
      <w:tr>
        <w:trPr/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70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70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Vykázané voči ÚJ súhrnného celku</w:t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70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Hodnota celkom</w:t>
            </w:r>
          </w:p>
        </w:tc>
      </w:tr>
      <w:tr>
        <w:trPr/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  <w:t>Iné aktíva</w:t>
            </w:r>
          </w:p>
        </w:tc>
        <w:tc>
          <w:tcPr>
            <w:tcW w:w="45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  <w:t>Iné pasíva</w:t>
            </w:r>
          </w:p>
        </w:tc>
        <w:tc>
          <w:tcPr>
            <w:tcW w:w="45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</w:tr>
    </w:tbl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17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>
        <w:rPr>
          <w:sz w:val="24"/>
          <w:szCs w:val="24"/>
        </w:rPr>
        <w:t>tabuľka č.10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  <w:t xml:space="preserve">Významné položky ostatných finančných povinností, ktoré sa nevykazujú v účtovných výkazoch. </w:t>
      </w:r>
    </w:p>
    <w:p>
      <w:pPr>
        <w:pStyle w:val="Pismenka"/>
        <w:ind w:left="0" w:hanging="0"/>
        <w:jc w:val="left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Textová časť k tabuľke č.10 .......................................................................................................................................................</w:t>
      </w:r>
    </w:p>
    <w:p>
      <w:pPr>
        <w:pStyle w:val="Pismenka"/>
        <w:ind w:left="425" w:hanging="425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účtovnej jednotky a spriaznených osôb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20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účtovnej jednotky a spriaznených osôb </w:t>
      </w:r>
    </w:p>
    <w:p>
      <w:pPr>
        <w:pStyle w:val="Normal"/>
        <w:numPr>
          <w:ilvl w:val="0"/>
          <w:numId w:val="26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Na základe usmernenia MF SR: Ako informácie o spriaznených osobách sa uvádzajú obchody a transakcie medzi účtovnou jednotkou a inými právnickými osobami, ktoré sú vo vzťahu k účtovnej jednotke dcérskou účtovnou jednotkou alebo materskou účtovnou jednotkou. Nie je potrebné uvádzať transferové vzťahy medzi obcou resp. VÚC  a  rozpočtovými organizáciami a  príspevkovými organizáciami v ich zriaďovateľskej pôsobnosti. Uvádzajú sa tu najmä transfery a iné vzťahy voči obchodným spoločnostiam v rámci konsolidovaného celku.</w:t>
      </w:r>
    </w:p>
    <w:tbl>
      <w:tblPr>
        <w:tblW w:w="10064" w:type="dxa"/>
        <w:jc w:val="left"/>
        <w:tblInd w:w="7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2126"/>
        <w:gridCol w:w="1701"/>
        <w:gridCol w:w="1983"/>
        <w:gridCol w:w="2269"/>
        <w:gridCol w:w="1985"/>
      </w:tblGrid>
      <w:tr>
        <w:trPr/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70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Spriaznená osoba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70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Druh obchodu/</w:t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70" w:type="dxa"/>
            </w:tcMar>
          </w:tcPr>
          <w:p>
            <w:pPr>
              <w:pStyle w:val="Normal"/>
              <w:jc w:val="center"/>
              <w:rPr/>
            </w:pPr>
            <w:r>
              <w:rPr/>
              <w:t>Hodnotové vyjadrenie obchodu/transakcie</w:t>
            </w:r>
          </w:p>
          <w:p>
            <w:pPr>
              <w:pStyle w:val="Normal"/>
              <w:jc w:val="center"/>
              <w:rPr/>
            </w:pPr>
            <w:r>
              <w:rPr/>
              <w:t>alebo percentuálne vyjadrenie obchodu/transakcie  k celkovému objemu obchodov/transakcií  realizovaných ÚJ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70" w:type="dxa"/>
            </w:tcMar>
          </w:tcPr>
          <w:p>
            <w:pPr>
              <w:pStyle w:val="Normal"/>
              <w:jc w:val="center"/>
              <w:rPr/>
            </w:pPr>
            <w:r>
              <w:rPr/>
              <w:t>Informácia o neukončených obchodoch/transakciách v hodnotovom vyjadrení obchodu/transakcie alebo percentuálnom vyjadrení obchodu/transakcie k celkovému objemu obchodov/transakcií  realizovaných ÚJ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70" w:type="dxa"/>
            </w:tcMar>
          </w:tcPr>
          <w:p>
            <w:pPr>
              <w:pStyle w:val="Normal"/>
              <w:jc w:val="center"/>
              <w:rPr/>
            </w:pPr>
            <w:r>
              <w:rPr/>
              <w:t xml:space="preserve">Informácia o cenách/hodnotách realizovaných obchodov/transakcií  medzi účtovnou jednotkou a spriaznenými osobami </w:t>
            </w:r>
          </w:p>
        </w:tc>
      </w:tr>
      <w:tr>
        <w:trPr/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Predaj</w:t>
            </w: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služby</w:t>
            </w: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Obchodné zastúpenie</w:t>
            </w: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Licencie</w:t>
            </w: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Transféry</w:t>
            </w: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>
                <w:strike/>
              </w:rPr>
            </w:pPr>
            <w:r>
              <w:rPr>
                <w:strike/>
              </w:rPr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>
                <w:strike/>
                <w:sz w:val="18"/>
                <w:szCs w:val="18"/>
              </w:rPr>
            </w:pPr>
            <w:r>
              <w:rPr>
                <w:strike/>
                <w:sz w:val="18"/>
                <w:szCs w:val="18"/>
              </w:rPr>
            </w: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>
                <w:strike/>
              </w:rPr>
            </w:pPr>
            <w:r>
              <w:rPr>
                <w:strike/>
              </w:rPr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>
                <w:strike/>
              </w:rPr>
            </w:pPr>
            <w:r>
              <w:rPr>
                <w:strike/>
              </w:rPr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>
                <w:strike/>
              </w:rPr>
            </w:pPr>
            <w:r>
              <w:rPr>
                <w:strike/>
              </w:rPr>
            </w:r>
          </w:p>
        </w:tc>
      </w:tr>
      <w:tr>
        <w:trPr/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>
                <w:strike/>
              </w:rPr>
            </w:pPr>
            <w:r>
              <w:rPr>
                <w:strike/>
              </w:rPr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>
                <w:strike/>
                <w:sz w:val="18"/>
                <w:szCs w:val="18"/>
              </w:rPr>
            </w:pPr>
            <w:r>
              <w:rPr>
                <w:strike/>
                <w:sz w:val="18"/>
                <w:szCs w:val="18"/>
              </w:rPr>
            </w: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>
                <w:strike/>
              </w:rPr>
            </w:pPr>
            <w:r>
              <w:rPr>
                <w:strike/>
              </w:rPr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>
                <w:strike/>
              </w:rPr>
            </w:pPr>
            <w:r>
              <w:rPr>
                <w:strike/>
              </w:rPr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>
                <w:strike/>
              </w:rPr>
            </w:pPr>
            <w:r>
              <w:rPr>
                <w:strike/>
              </w:rPr>
            </w:r>
          </w:p>
        </w:tc>
      </w:tr>
      <w:tr>
        <w:trPr/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</w:tr>
    </w:tbl>
    <w:p>
      <w:pPr>
        <w:pStyle w:val="Normal"/>
        <w:ind w:left="284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numPr>
          <w:ilvl w:val="0"/>
          <w:numId w:val="26"/>
        </w:numPr>
        <w:ind w:left="284" w:hanging="284"/>
        <w:rPr>
          <w:b/>
          <w:b/>
          <w:sz w:val="24"/>
          <w:szCs w:val="24"/>
        </w:rPr>
      </w:pPr>
      <w:r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jc w:val="left"/>
        <w:tblInd w:w="7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3683"/>
        <w:gridCol w:w="2945"/>
        <w:gridCol w:w="3436"/>
      </w:tblGrid>
      <w:tr>
        <w:trPr/>
        <w:tc>
          <w:tcPr>
            <w:tcW w:w="36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70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Spriaznená osoba</w:t>
            </w:r>
          </w:p>
        </w:tc>
        <w:tc>
          <w:tcPr>
            <w:tcW w:w="29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70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70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Hodnota podmienených záväzkov</w:t>
            </w:r>
          </w:p>
        </w:tc>
      </w:tr>
      <w:tr>
        <w:trPr/>
        <w:tc>
          <w:tcPr>
            <w:tcW w:w="36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29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34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36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29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34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36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29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34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</w:tr>
    </w:tbl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>
      <w:pPr>
        <w:pStyle w:val="Pismenka"/>
        <w:ind w:left="0" w:hanging="0"/>
        <w:jc w:val="left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Textová časť k tabuľke č.12-14: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Rozpočet obce bol schválený obecným zastupiteľstvom dňa 3.12.2022  uznesením č.23/2022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>
      <w:pPr>
        <w:pStyle w:val="Normal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prvá  zmena  schválená dňa 21.09.2023 uznesením č.17/2023</w:t>
      </w:r>
    </w:p>
    <w:p>
      <w:pPr>
        <w:pStyle w:val="Normal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druhá zmena schválená dňa 7.12.2023 uznesením č. 23/2023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obce podľa§ 17 ods. 7 -8 zákona č.583/2004 Z.z. o rozpočtových pravidlách územnej samosprávy a o zmene a doplnení niektorých zákonov v z.n.p. za bežné účtovné obdobie a bezprostredne predchádzajúce účtovné obdobie je uvedená v tabuľke č.15.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>
      <w:pPr>
        <w:pStyle w:val="Normal"/>
        <w:jc w:val="center"/>
        <w:rPr>
          <w:b/>
          <w:b/>
          <w:sz w:val="28"/>
        </w:rPr>
      </w:pPr>
      <w:r>
        <w:rPr>
          <w:b/>
          <w:sz w:val="28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>
      <w:pPr>
        <w:pStyle w:val="Pismenka"/>
        <w:numPr>
          <w:ilvl w:val="0"/>
          <w:numId w:val="21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>
      <w:pPr>
        <w:pStyle w:val="Pismenka"/>
        <w:numPr>
          <w:ilvl w:val="0"/>
          <w:numId w:val="21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dôvody pre zmenu výšky rezerv a opravných položiek,</w:t>
      </w:r>
    </w:p>
    <w:p>
      <w:pPr>
        <w:pStyle w:val="Pismenka"/>
        <w:numPr>
          <w:ilvl w:val="0"/>
          <w:numId w:val="21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zmeny významných položiek dlhodobého finančného majetku,</w:t>
      </w:r>
    </w:p>
    <w:p>
      <w:pPr>
        <w:pStyle w:val="Pismenka"/>
        <w:numPr>
          <w:ilvl w:val="0"/>
          <w:numId w:val="21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vydané dlhopisy a iné cenné papiere,</w:t>
      </w:r>
    </w:p>
    <w:p>
      <w:pPr>
        <w:pStyle w:val="Pismenka"/>
        <w:numPr>
          <w:ilvl w:val="0"/>
          <w:numId w:val="21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zmena právnej formy účtovnej jednotky,</w:t>
      </w:r>
    </w:p>
    <w:p>
      <w:pPr>
        <w:pStyle w:val="Pismenka"/>
        <w:numPr>
          <w:ilvl w:val="0"/>
          <w:numId w:val="21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mimoriadne udalosti, ak majú vplyv na hospodárenie účtovnej jednotky, napríklad živelné pohromy,</w:t>
      </w:r>
    </w:p>
    <w:p>
      <w:pPr>
        <w:pStyle w:val="Pismenka"/>
        <w:numPr>
          <w:ilvl w:val="0"/>
          <w:numId w:val="21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iné mimoriadne skutočnosti</w:t>
      </w:r>
    </w:p>
    <w:p>
      <w:pPr>
        <w:pStyle w:val="Pismenka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Opis skutočností:</w:t>
      </w:r>
    </w:p>
    <w:p>
      <w:pPr>
        <w:pStyle w:val="Normal"/>
        <w:rPr>
          <w:b/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2023</w:t>
      </w:r>
      <w:r>
        <w:rPr>
          <w:sz w:val="24"/>
          <w:szCs w:val="24"/>
        </w:rPr>
        <w:t xml:space="preserve"> nenastali také udalosti, ktoré by si vyžadovali zverejnenie alebo vykázanie v účtovnej závierke za rok 2023. Upozorňujeme ale na skutočnosť pokračovania šírenia ochorenia COVID - 19, čo má negatívny vplyv na fungovanie obce</w:t>
      </w:r>
    </w:p>
    <w:p>
      <w:pPr>
        <w:pStyle w:val="Normal"/>
        <w:rPr/>
      </w:pPr>
      <w:r>
        <w:rPr/>
      </w:r>
    </w:p>
    <w:sectPr>
      <w:headerReference w:type="default" r:id="rId2"/>
      <w:type w:val="nextPage"/>
      <w:pgSz w:w="11906" w:h="16838"/>
      <w:pgMar w:left="1417" w:right="1417" w:header="708" w:top="1417" w:footer="0" w:bottom="1417" w:gutter="0"/>
      <w:pgNumType w:fmt="decimal"/>
      <w:formProt w:val="false"/>
      <w:textDirection w:val="lrTb"/>
      <w:docGrid w:type="default" w:linePitch="360" w:charSpace="20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  <w:font w:name="ms sans serif">
    <w:charset w:val="ee"/>
    <w:family w:val="roman"/>
    <w:pitch w:val="variable"/>
  </w:font>
  <w:font w:name="Times New Roman">
    <w:charset w:val="01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  <w:t>Obec Dubno</w:t>
    </w:r>
  </w:p>
  <w:p>
    <w:pPr>
      <w:pStyle w:val="Hlavika"/>
      <w:rPr/>
    </w:pPr>
    <w:r>
      <w:rPr/>
      <w:t xml:space="preserve">                               </w:t>
    </w:r>
    <w:r>
      <w:rPr/>
      <w:t>Poznámky  induviduálnej účtovnnej uzávierky zostavená k 31.12.2023</w:t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sz w:val="24"/>
        <w:rFonts w:cs="Times New Roman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4"/>
        <w:b/>
        <w:szCs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lvl w:ilvl="0">
      <w:start w:val="1"/>
      <w:numFmt w:val="lowerLetter"/>
      <w:lvlText w:val="%1)"/>
      <w:lvlJc w:val="left"/>
      <w:pPr>
        <w:ind w:left="720" w:hanging="360"/>
      </w:pPr>
      <w:rPr>
        <w:sz w:val="24"/>
        <w:b w:val="false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lvl w:ilvl="0">
      <w:start w:val="1"/>
      <w:numFmt w:val="lowerLetter"/>
      <w:lvlText w:val="%1)"/>
      <w:lvlJc w:val="left"/>
      <w:pPr>
        <w:ind w:left="360" w:hanging="360"/>
      </w:pPr>
      <w:rPr>
        <w:sz w:val="24"/>
        <w:b w:val="false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lvl w:ilvl="0">
      <w:start w:val="1"/>
      <w:numFmt w:val="lowerLetter"/>
      <w:lvlText w:val="%1)"/>
      <w:lvlJc w:val="left"/>
      <w:pPr>
        <w:ind w:left="720" w:hanging="360"/>
      </w:pPr>
      <w:rPr>
        <w:sz w:val="24"/>
        <w:b w:val="false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lvl w:ilvl="0">
      <w:start w:val="1"/>
      <w:numFmt w:val="lowerLetter"/>
      <w:lvlText w:val="%1)"/>
      <w:lvlJc w:val="left"/>
      <w:pPr>
        <w:ind w:left="720" w:hanging="360"/>
      </w:pPr>
      <w:rPr>
        <w:sz w:val="24"/>
        <w:b w:val="false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lvl w:ilvl="0">
      <w:start w:val="1"/>
      <w:numFmt w:val="lowerLetter"/>
      <w:lvlText w:val="%1)"/>
      <w:lvlJc w:val="left"/>
      <w:pPr>
        <w:ind w:left="720" w:hanging="360"/>
      </w:pPr>
      <w:rPr>
        <w:sz w:val="24"/>
        <w:b w:val="false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lvl w:ilvl="0">
      <w:start w:val="1"/>
      <w:numFmt w:val="decimal"/>
      <w:lvlText w:val="%1."/>
      <w:lvlJc w:val="left"/>
      <w:pPr>
        <w:ind w:left="720" w:hanging="360"/>
      </w:pPr>
      <w:rPr>
        <w:sz w:val="24"/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lvl w:ilvl="0">
      <w:start w:val="1"/>
      <w:numFmt w:val="lowerLetter"/>
      <w:lvlText w:val="%1)"/>
      <w:lvlJc w:val="left"/>
      <w:pPr>
        <w:ind w:left="720" w:hanging="360"/>
      </w:pPr>
      <w:rPr>
        <w:sz w:val="24"/>
        <w:b w:val="false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lvl w:ilvl="0">
      <w:start w:val="1"/>
      <w:numFmt w:val="lowerLetter"/>
      <w:lvlText w:val="%1)"/>
      <w:lvlJc w:val="left"/>
      <w:pPr>
        <w:ind w:left="720" w:hanging="360"/>
      </w:pPr>
      <w:rPr>
        <w:sz w:val="24"/>
        <w:b w:val="false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lvl w:ilvl="0">
      <w:start w:val="1"/>
      <w:numFmt w:val="lowerLetter"/>
      <w:lvlText w:val="%1)"/>
      <w:lvlJc w:val="left"/>
      <w:pPr>
        <w:ind w:left="720" w:hanging="360"/>
      </w:pPr>
      <w:rPr>
        <w:sz w:val="24"/>
        <w:b w:val="false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lvl w:ilvl="0">
      <w:start w:val="1"/>
      <w:numFmt w:val="decimal"/>
      <w:lvlText w:val="%1."/>
      <w:lvlJc w:val="left"/>
      <w:pPr>
        <w:ind w:left="720" w:hanging="360"/>
      </w:pPr>
      <w:rPr>
        <w:sz w:val="24"/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lvl w:ilvl="0">
      <w:start w:val="1"/>
      <w:numFmt w:val="decimal"/>
      <w:lvlText w:val="%1."/>
      <w:lvlJc w:val="left"/>
      <w:pPr>
        <w:ind w:left="720" w:hanging="360"/>
      </w:pPr>
      <w:rPr>
        <w:sz w:val="24"/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lvl w:ilvl="0">
      <w:start w:val="1"/>
      <w:numFmt w:val="decimal"/>
      <w:lvlText w:val="%1."/>
      <w:lvlJc w:val="left"/>
      <w:pPr>
        <w:ind w:left="720" w:hanging="360"/>
      </w:pPr>
      <w:rPr>
        <w:sz w:val="24"/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lvl w:ilvl="0">
      <w:start w:val="1"/>
      <w:numFmt w:val="lowerLetter"/>
      <w:lvlText w:val="%1)"/>
      <w:lvlJc w:val="left"/>
      <w:pPr>
        <w:ind w:left="720" w:hanging="360"/>
      </w:pPr>
      <w:rPr>
        <w:sz w:val="24"/>
        <w:b w:val="false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lvl w:ilvl="0">
      <w:start w:val="1"/>
      <w:numFmt w:val="decimal"/>
      <w:lvlText w:val="%1."/>
      <w:lvlJc w:val="left"/>
      <w:pPr>
        <w:ind w:left="644" w:hanging="360"/>
      </w:pPr>
      <w:rPr>
        <w:sz w:val="24"/>
        <w:b w:val="false"/>
      </w:rPr>
    </w:lvl>
    <w:lvl w:ilvl="1">
      <w:start w:val="1"/>
      <w:numFmt w:val="lowerLetter"/>
      <w:lvlText w:val="%2."/>
      <w:lvlJc w:val="left"/>
      <w:pPr>
        <w:ind w:left="1364" w:hanging="360"/>
      </w:pPr>
    </w:lvl>
    <w:lvl w:ilvl="2">
      <w:start w:val="1"/>
      <w:numFmt w:val="lowerRoman"/>
      <w:lvlText w:val="%3."/>
      <w:lvlJc w:val="right"/>
      <w:pPr>
        <w:ind w:left="2084" w:hanging="180"/>
      </w:pPr>
    </w:lvl>
    <w:lvl w:ilvl="3">
      <w:start w:val="1"/>
      <w:numFmt w:val="decimal"/>
      <w:lvlText w:val="%4."/>
      <w:lvlJc w:val="left"/>
      <w:pPr>
        <w:ind w:left="2804" w:hanging="360"/>
      </w:pPr>
    </w:lvl>
    <w:lvl w:ilvl="4">
      <w:start w:val="1"/>
      <w:numFmt w:val="lowerLetter"/>
      <w:lvlText w:val="%5."/>
      <w:lvlJc w:val="left"/>
      <w:pPr>
        <w:ind w:left="3524" w:hanging="360"/>
      </w:pPr>
    </w:lvl>
    <w:lvl w:ilvl="5">
      <w:start w:val="1"/>
      <w:numFmt w:val="lowerRoman"/>
      <w:lvlText w:val="%6."/>
      <w:lvlJc w:val="right"/>
      <w:pPr>
        <w:ind w:left="4244" w:hanging="180"/>
      </w:pPr>
    </w:lvl>
    <w:lvl w:ilvl="6">
      <w:start w:val="1"/>
      <w:numFmt w:val="decimal"/>
      <w:lvlText w:val="%7."/>
      <w:lvlJc w:val="left"/>
      <w:pPr>
        <w:ind w:left="4964" w:hanging="360"/>
      </w:pPr>
    </w:lvl>
    <w:lvl w:ilvl="7">
      <w:start w:val="1"/>
      <w:numFmt w:val="lowerLetter"/>
      <w:lvlText w:val="%8."/>
      <w:lvlJc w:val="left"/>
      <w:pPr>
        <w:ind w:left="5684" w:hanging="360"/>
      </w:pPr>
    </w:lvl>
    <w:lvl w:ilvl="8">
      <w:start w:val="1"/>
      <w:numFmt w:val="lowerRoman"/>
      <w:lvlText w:val="%9."/>
      <w:lvlJc w:val="right"/>
      <w:pPr>
        <w:ind w:left="6404" w:hanging="180"/>
      </w:pPr>
    </w:lvl>
  </w:abstractNum>
  <w:abstractNum w:abstractNumId="20">
    <w:lvl w:ilvl="0">
      <w:start w:val="1"/>
      <w:numFmt w:val="decimal"/>
      <w:lvlText w:val="%1."/>
      <w:lvlJc w:val="left"/>
      <w:pPr>
        <w:ind w:left="720" w:hanging="360"/>
      </w:pPr>
      <w:rPr>
        <w:sz w:val="24"/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lvl w:ilvl="0">
      <w:start w:val="1"/>
      <w:numFmt w:val="lowerLetter"/>
      <w:lvlText w:val="%1)"/>
      <w:lvlJc w:val="left"/>
      <w:pPr>
        <w:ind w:left="720" w:hanging="360"/>
      </w:pPr>
      <w:rPr>
        <w:sz w:val="24"/>
        <w:b w:val="false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lvl w:ilvl="0">
      <w:start w:val="1"/>
      <w:numFmt w:val="bullet"/>
      <w:lvlText w:val="-"/>
      <w:lvlJc w:val="left"/>
      <w:pPr>
        <w:ind w:left="678" w:hanging="360"/>
      </w:pPr>
      <w:rPr>
        <w:rFonts w:ascii="Times New Roman" w:hAnsi="Times New Roman" w:cs="Times New Roman" w:hint="default"/>
        <w:sz w:val="24"/>
        <w:b/>
        <w:rFonts w:cs="Times New Roman"/>
      </w:rPr>
    </w:lvl>
    <w:lvl w:ilvl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2118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38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4278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998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438" w:hanging="360"/>
      </w:pPr>
      <w:rPr>
        <w:rFonts w:ascii="Wingdings" w:hAnsi="Wingdings" w:cs="Wingdings" w:hint="default"/>
      </w:rPr>
    </w:lvl>
  </w:abstractNum>
  <w:abstractNum w:abstractNumId="23">
    <w:lvl w:ilvl="0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lvl w:ilvl="0">
      <w:start w:val="1"/>
      <w:numFmt w:val="lowerLetter"/>
      <w:lvlText w:val="%1)"/>
      <w:lvlJc w:val="left"/>
      <w:pPr>
        <w:ind w:left="720" w:hanging="360"/>
      </w:pPr>
      <w:rPr>
        <w:color w:val="00000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lvl w:ilvl="0">
      <w:start w:val="1"/>
      <w:numFmt w:val="lowerLetter"/>
      <w:lvlText w:val="%1)"/>
      <w:lvlJc w:val="left"/>
      <w:pPr>
        <w:ind w:left="720" w:hanging="360"/>
      </w:pPr>
      <w:rPr>
        <w:sz w:val="24"/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b/>
        <w:rFonts w:cs="Times New Roman"/>
        <w:color w:val="00000A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8">
    <w:lvl w:ilvl="0">
      <w:start w:val="1"/>
      <w:numFmt w:val="lowerLetter"/>
      <w:lvlText w:val="%1)"/>
      <w:lvlJc w:val="left"/>
      <w:pPr>
        <w:ind w:left="720" w:hanging="360"/>
      </w:pPr>
      <w:rPr>
        <w:b w:val="false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lvl w:ilvl="0">
      <w:start w:val="1"/>
      <w:numFmt w:val="lowerLetter"/>
      <w:lvlText w:val="%1)"/>
      <w:lvlJc w:val="left"/>
      <w:pPr>
        <w:ind w:left="720" w:hanging="360"/>
      </w:pPr>
      <w:rPr>
        <w:b w:val="false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  <w:num w:numId="16">
    <w:abstractNumId w:val="16"/>
  </w:num>
  <w:num w:numId="17">
    <w:abstractNumId w:val="17"/>
  </w:num>
  <w:num w:numId="18">
    <w:abstractNumId w:val="18"/>
  </w:num>
  <w:num w:numId="19">
    <w:abstractNumId w:val="19"/>
  </w:num>
  <w:num w:numId="20">
    <w:abstractNumId w:val="20"/>
  </w:num>
  <w:num w:numId="21">
    <w:abstractNumId w:val="21"/>
  </w:num>
  <w:num w:numId="22">
    <w:abstractNumId w:val="22"/>
  </w:num>
  <w:num w:numId="23">
    <w:abstractNumId w:val="23"/>
  </w:num>
  <w:num w:numId="24">
    <w:abstractNumId w:val="24"/>
  </w:num>
  <w:num w:numId="25">
    <w:abstractNumId w:val="25"/>
  </w:num>
  <w:num w:numId="26">
    <w:abstractNumId w:val="26"/>
  </w:num>
  <w:num w:numId="27">
    <w:abstractNumId w:val="27"/>
  </w:num>
  <w:num w:numId="28">
    <w:abstractNumId w:val="28"/>
  </w:num>
  <w:num w:numId="29">
    <w:abstractNumId w:val="29"/>
  </w:num>
  <w:num w:numId="30">
    <w:abstractNumId w:val="30"/>
  </w:num>
</w:numbering>
</file>

<file path=word/settings.xml><?xml version="1.0" encoding="utf-8"?>
<w:settings xmlns:w="http://schemas.openxmlformats.org/wordprocessingml/2006/main">
  <w:zoom w:percent="100"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uiPriority="10" w:semiHidden="0" w:unhideWhenUsed="0" w:qFormat="1"/>
    <w:lsdException w:name="Default Paragraph Font" w:uiPriority="1"/>
    <w:lsdException w:name="Body Text" w:uiPriority="0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Balloon Text" w:uiPriority="0"/>
    <w:lsdException w:name="Table Grid" w:uiPriority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156b2d"/>
    <w:pPr>
      <w:widowControl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auto"/>
      <w:sz w:val="20"/>
      <w:szCs w:val="20"/>
      <w:lang w:eastAsia="sk-SK" w:val="sk-SK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LlbChar" w:customStyle="1">
    <w:name w:val="Élőláb Char"/>
    <w:basedOn w:val="DefaultParagraphFont"/>
    <w:link w:val="llb"/>
    <w:qFormat/>
    <w:rsid w:val="00156b2d"/>
    <w:rPr>
      <w:rFonts w:ascii="Times New Roman" w:hAnsi="Times New Roman" w:eastAsia="Times New Roman" w:cs="Times New Roman"/>
      <w:sz w:val="20"/>
      <w:szCs w:val="20"/>
      <w:lang w:eastAsia="sk-SK"/>
    </w:rPr>
  </w:style>
  <w:style w:type="character" w:styleId="BuborkszvegChar" w:customStyle="1">
    <w:name w:val="Buborékszöveg Char"/>
    <w:basedOn w:val="DefaultParagraphFont"/>
    <w:link w:val="Buborkszveg"/>
    <w:semiHidden/>
    <w:qFormat/>
    <w:rsid w:val="00156b2d"/>
    <w:rPr>
      <w:rFonts w:ascii="Tahoma" w:hAnsi="Tahoma" w:eastAsia="Times New Roman" w:cs="Tahoma"/>
      <w:sz w:val="16"/>
      <w:szCs w:val="16"/>
      <w:lang w:eastAsia="sk-SK"/>
    </w:rPr>
  </w:style>
  <w:style w:type="character" w:styleId="Pagenumber">
    <w:name w:val="page number"/>
    <w:basedOn w:val="DefaultParagraphFont"/>
    <w:qFormat/>
    <w:rsid w:val="00156b2d"/>
    <w:rPr/>
  </w:style>
  <w:style w:type="character" w:styleId="SzvegtrzsChar" w:customStyle="1">
    <w:name w:val="Szövegtörzs Char"/>
    <w:basedOn w:val="DefaultParagraphFont"/>
    <w:link w:val="Szvegtrzs"/>
    <w:qFormat/>
    <w:rsid w:val="00156b2d"/>
    <w:rPr>
      <w:rFonts w:ascii="Times New Roman" w:hAnsi="Times New Roman" w:eastAsia="Times New Roman" w:cs="Times New Roman"/>
      <w:sz w:val="18"/>
      <w:szCs w:val="20"/>
      <w:lang w:eastAsia="sk-SK"/>
    </w:rPr>
  </w:style>
  <w:style w:type="character" w:styleId="LfejChar" w:customStyle="1">
    <w:name w:val="Élőfej Char"/>
    <w:basedOn w:val="DefaultParagraphFont"/>
    <w:link w:val="lfej"/>
    <w:qFormat/>
    <w:rsid w:val="00156b2d"/>
    <w:rPr>
      <w:rFonts w:ascii="Times New Roman" w:hAnsi="Times New Roman" w:eastAsia="Times New Roman" w:cs="Times New Roman"/>
      <w:sz w:val="20"/>
      <w:szCs w:val="20"/>
      <w:lang w:eastAsia="sk-SK"/>
    </w:rPr>
  </w:style>
  <w:style w:type="character" w:styleId="ListLabel1">
    <w:name w:val="ListLabel 1"/>
    <w:qFormat/>
    <w:rPr>
      <w:rFonts w:eastAsia="Times New Roman" w:cs="Times New Roman"/>
      <w:sz w:val="24"/>
    </w:rPr>
  </w:style>
  <w:style w:type="character" w:styleId="ListLabel2">
    <w:name w:val="ListLabel 2"/>
    <w:qFormat/>
    <w:rPr>
      <w:rFonts w:cs="Courier New"/>
    </w:rPr>
  </w:style>
  <w:style w:type="character" w:styleId="ListLabel3">
    <w:name w:val="ListLabel 3"/>
    <w:qFormat/>
    <w:rPr>
      <w:rFonts w:cs="Courier New"/>
    </w:rPr>
  </w:style>
  <w:style w:type="character" w:styleId="ListLabel4">
    <w:name w:val="ListLabel 4"/>
    <w:qFormat/>
    <w:rPr>
      <w:rFonts w:cs="Courier New"/>
    </w:rPr>
  </w:style>
  <w:style w:type="character" w:styleId="ListLabel5">
    <w:name w:val="ListLabel 5"/>
    <w:qFormat/>
    <w:rPr>
      <w:b/>
      <w:sz w:val="24"/>
      <w:szCs w:val="24"/>
    </w:rPr>
  </w:style>
  <w:style w:type="character" w:styleId="ListLabel6">
    <w:name w:val="ListLabel 6"/>
    <w:qFormat/>
    <w:rPr>
      <w:b w:val="false"/>
      <w:sz w:val="24"/>
    </w:rPr>
  </w:style>
  <w:style w:type="character" w:styleId="ListLabel7">
    <w:name w:val="ListLabel 7"/>
    <w:qFormat/>
    <w:rPr>
      <w:b w:val="false"/>
      <w:sz w:val="24"/>
    </w:rPr>
  </w:style>
  <w:style w:type="character" w:styleId="ListLabel8">
    <w:name w:val="ListLabel 8"/>
    <w:qFormat/>
    <w:rPr>
      <w:b w:val="false"/>
    </w:rPr>
  </w:style>
  <w:style w:type="character" w:styleId="ListLabel9">
    <w:name w:val="ListLabel 9"/>
    <w:qFormat/>
    <w:rPr>
      <w:b w:val="false"/>
    </w:rPr>
  </w:style>
  <w:style w:type="character" w:styleId="ListLabel10">
    <w:name w:val="ListLabel 10"/>
    <w:qFormat/>
    <w:rPr>
      <w:b w:val="false"/>
      <w:sz w:val="24"/>
    </w:rPr>
  </w:style>
  <w:style w:type="character" w:styleId="ListLabel11">
    <w:name w:val="ListLabel 11"/>
    <w:qFormat/>
    <w:rPr>
      <w:b w:val="false"/>
      <w:sz w:val="24"/>
    </w:rPr>
  </w:style>
  <w:style w:type="character" w:styleId="ListLabel12">
    <w:name w:val="ListLabel 12"/>
    <w:qFormat/>
    <w:rPr>
      <w:b w:val="false"/>
      <w:sz w:val="24"/>
    </w:rPr>
  </w:style>
  <w:style w:type="character" w:styleId="ListLabel13">
    <w:name w:val="ListLabel 13"/>
    <w:qFormat/>
    <w:rPr>
      <w:b/>
      <w:sz w:val="24"/>
    </w:rPr>
  </w:style>
  <w:style w:type="character" w:styleId="ListLabel14">
    <w:name w:val="ListLabel 14"/>
    <w:qFormat/>
    <w:rPr>
      <w:b w:val="false"/>
      <w:sz w:val="24"/>
    </w:rPr>
  </w:style>
  <w:style w:type="character" w:styleId="ListLabel15">
    <w:name w:val="ListLabel 15"/>
    <w:qFormat/>
    <w:rPr>
      <w:b w:val="false"/>
      <w:sz w:val="24"/>
    </w:rPr>
  </w:style>
  <w:style w:type="character" w:styleId="ListLabel16">
    <w:name w:val="ListLabel 16"/>
    <w:qFormat/>
    <w:rPr>
      <w:b w:val="false"/>
      <w:sz w:val="24"/>
    </w:rPr>
  </w:style>
  <w:style w:type="character" w:styleId="ListLabel17">
    <w:name w:val="ListLabel 17"/>
    <w:qFormat/>
    <w:rPr>
      <w:b/>
      <w:sz w:val="24"/>
    </w:rPr>
  </w:style>
  <w:style w:type="character" w:styleId="ListLabel18">
    <w:name w:val="ListLabel 18"/>
    <w:qFormat/>
    <w:rPr>
      <w:rFonts w:eastAsia="Times New Roman" w:cs="Times New Roman"/>
    </w:rPr>
  </w:style>
  <w:style w:type="character" w:styleId="ListLabel19">
    <w:name w:val="ListLabel 19"/>
    <w:qFormat/>
    <w:rPr>
      <w:rFonts w:cs="Courier New"/>
    </w:rPr>
  </w:style>
  <w:style w:type="character" w:styleId="ListLabel20">
    <w:name w:val="ListLabel 20"/>
    <w:qFormat/>
    <w:rPr>
      <w:rFonts w:cs="Courier New"/>
    </w:rPr>
  </w:style>
  <w:style w:type="character" w:styleId="ListLabel21">
    <w:name w:val="ListLabel 21"/>
    <w:qFormat/>
    <w:rPr>
      <w:rFonts w:cs="Courier New"/>
    </w:rPr>
  </w:style>
  <w:style w:type="character" w:styleId="ListLabel22">
    <w:name w:val="ListLabel 22"/>
    <w:qFormat/>
    <w:rPr>
      <w:b/>
      <w:sz w:val="24"/>
    </w:rPr>
  </w:style>
  <w:style w:type="character" w:styleId="ListLabel23">
    <w:name w:val="ListLabel 23"/>
    <w:qFormat/>
    <w:rPr>
      <w:b/>
      <w:sz w:val="24"/>
    </w:rPr>
  </w:style>
  <w:style w:type="character" w:styleId="ListLabel24">
    <w:name w:val="ListLabel 24"/>
    <w:qFormat/>
    <w:rPr>
      <w:b w:val="false"/>
      <w:sz w:val="24"/>
    </w:rPr>
  </w:style>
  <w:style w:type="character" w:styleId="ListLabel25">
    <w:name w:val="ListLabel 25"/>
    <w:qFormat/>
    <w:rPr>
      <w:b w:val="false"/>
      <w:sz w:val="24"/>
    </w:rPr>
  </w:style>
  <w:style w:type="character" w:styleId="ListLabel26">
    <w:name w:val="ListLabel 26"/>
    <w:qFormat/>
    <w:rPr>
      <w:b/>
      <w:sz w:val="24"/>
    </w:rPr>
  </w:style>
  <w:style w:type="character" w:styleId="ListLabel27">
    <w:name w:val="ListLabel 27"/>
    <w:qFormat/>
    <w:rPr>
      <w:b w:val="false"/>
    </w:rPr>
  </w:style>
  <w:style w:type="character" w:styleId="ListLabel28">
    <w:name w:val="ListLabel 28"/>
    <w:qFormat/>
    <w:rPr>
      <w:b w:val="false"/>
      <w:sz w:val="24"/>
    </w:rPr>
  </w:style>
  <w:style w:type="character" w:styleId="ListLabel29">
    <w:name w:val="ListLabel 29"/>
    <w:qFormat/>
    <w:rPr>
      <w:rFonts w:eastAsia="Times New Roman" w:cs="Times New Roman"/>
      <w:b/>
      <w:sz w:val="24"/>
    </w:rPr>
  </w:style>
  <w:style w:type="character" w:styleId="ListLabel30">
    <w:name w:val="ListLabel 30"/>
    <w:qFormat/>
    <w:rPr>
      <w:rFonts w:cs="Courier New"/>
    </w:rPr>
  </w:style>
  <w:style w:type="character" w:styleId="ListLabel31">
    <w:name w:val="ListLabel 31"/>
    <w:qFormat/>
    <w:rPr>
      <w:rFonts w:cs="Courier New"/>
    </w:rPr>
  </w:style>
  <w:style w:type="character" w:styleId="ListLabel32">
    <w:name w:val="ListLabel 32"/>
    <w:qFormat/>
    <w:rPr>
      <w:rFonts w:cs="Courier New"/>
    </w:rPr>
  </w:style>
  <w:style w:type="character" w:styleId="ListLabel33">
    <w:name w:val="ListLabel 33"/>
    <w:qFormat/>
    <w:rPr>
      <w:b/>
    </w:rPr>
  </w:style>
  <w:style w:type="character" w:styleId="ListLabel34">
    <w:name w:val="ListLabel 34"/>
    <w:qFormat/>
    <w:rPr>
      <w:color w:val="000000"/>
    </w:rPr>
  </w:style>
  <w:style w:type="character" w:styleId="ListLabel35">
    <w:name w:val="ListLabel 35"/>
    <w:qFormat/>
    <w:rPr>
      <w:b w:val="false"/>
      <w:color w:val="00000A"/>
    </w:rPr>
  </w:style>
  <w:style w:type="character" w:styleId="ListLabel36">
    <w:name w:val="ListLabel 36"/>
    <w:qFormat/>
    <w:rPr>
      <w:color w:val="000000"/>
    </w:rPr>
  </w:style>
  <w:style w:type="character" w:styleId="ListLabel37">
    <w:name w:val="ListLabel 37"/>
    <w:qFormat/>
    <w:rPr>
      <w:b/>
      <w:sz w:val="24"/>
    </w:rPr>
  </w:style>
  <w:style w:type="character" w:styleId="ListLabel38">
    <w:name w:val="ListLabel 38"/>
    <w:qFormat/>
    <w:rPr>
      <w:rFonts w:eastAsia="Times New Roman" w:cs="Times New Roman"/>
      <w:b/>
      <w:color w:val="00000A"/>
    </w:rPr>
  </w:style>
  <w:style w:type="character" w:styleId="ListLabel39">
    <w:name w:val="ListLabel 39"/>
    <w:qFormat/>
    <w:rPr>
      <w:rFonts w:cs="Courier New"/>
    </w:rPr>
  </w:style>
  <w:style w:type="character" w:styleId="ListLabel40">
    <w:name w:val="ListLabel 40"/>
    <w:qFormat/>
    <w:rPr>
      <w:rFonts w:cs="Courier New"/>
    </w:rPr>
  </w:style>
  <w:style w:type="character" w:styleId="ListLabel41">
    <w:name w:val="ListLabel 41"/>
    <w:qFormat/>
    <w:rPr>
      <w:rFonts w:cs="Courier New"/>
    </w:rPr>
  </w:style>
  <w:style w:type="character" w:styleId="ListLabel42">
    <w:name w:val="ListLabel 42"/>
    <w:qFormat/>
    <w:rPr>
      <w:b w:val="false"/>
    </w:rPr>
  </w:style>
  <w:style w:type="character" w:styleId="ListLabel43">
    <w:name w:val="ListLabel 43"/>
    <w:qFormat/>
    <w:rPr>
      <w:b w:val="false"/>
    </w:rPr>
  </w:style>
  <w:style w:type="character" w:styleId="ListLabel44">
    <w:name w:val="ListLabel 44"/>
    <w:qFormat/>
    <w:rPr>
      <w:b w:val="false"/>
      <w:color w:val="00000A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link w:val="SzvegtrzsChar"/>
    <w:rsid w:val="00156b2d"/>
    <w:pPr>
      <w:ind w:left="426" w:hanging="0"/>
      <w:jc w:val="both"/>
    </w:pPr>
    <w:rPr>
      <w:sz w:val="18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Pta">
    <w:name w:val="Footer"/>
    <w:basedOn w:val="Normal"/>
    <w:link w:val="llbChar"/>
    <w:rsid w:val="00156b2d"/>
    <w:pPr>
      <w:tabs>
        <w:tab w:val="center" w:pos="4536" w:leader="none"/>
        <w:tab w:val="right" w:pos="9072" w:leader="none"/>
      </w:tabs>
    </w:pPr>
    <w:rPr/>
  </w:style>
  <w:style w:type="paragraph" w:styleId="BalloonText">
    <w:name w:val="Balloon Text"/>
    <w:basedOn w:val="Normal"/>
    <w:link w:val="BuborkszvegChar"/>
    <w:semiHidden/>
    <w:qFormat/>
    <w:rsid w:val="00156b2d"/>
    <w:pPr/>
    <w:rPr>
      <w:rFonts w:ascii="Tahoma" w:hAnsi="Tahoma" w:cs="Tahoma"/>
      <w:sz w:val="16"/>
      <w:szCs w:val="16"/>
    </w:rPr>
  </w:style>
  <w:style w:type="paragraph" w:styleId="Zkladntext1" w:customStyle="1">
    <w:name w:val="Základní text1"/>
    <w:qFormat/>
    <w:rsid w:val="00156b2d"/>
    <w:pPr>
      <w:widowControl/>
      <w:bidi w:val="0"/>
      <w:spacing w:lineRule="auto" w:line="240" w:before="144" w:after="144"/>
      <w:ind w:firstLine="709"/>
      <w:jc w:val="both"/>
    </w:pPr>
    <w:rPr>
      <w:rFonts w:ascii="Times New Roman" w:hAnsi="Times New Roman" w:eastAsia="Times New Roman" w:cs="Times New Roman"/>
      <w:color w:val="000000"/>
      <w:sz w:val="24"/>
      <w:szCs w:val="24"/>
      <w:lang w:eastAsia="sk-SK" w:val="sk-SK" w:bidi="ar-SA"/>
    </w:rPr>
  </w:style>
  <w:style w:type="paragraph" w:styleId="Pismenka" w:customStyle="1">
    <w:name w:val="Pismenka"/>
    <w:basedOn w:val="Telotextu"/>
    <w:qFormat/>
    <w:rsid w:val="00156b2d"/>
    <w:pPr>
      <w:tabs>
        <w:tab w:val="left" w:pos="426" w:leader="none"/>
      </w:tabs>
      <w:ind w:left="426" w:hanging="426"/>
    </w:pPr>
    <w:rPr>
      <w:b/>
    </w:rPr>
  </w:style>
  <w:style w:type="paragraph" w:styleId="Hlavika">
    <w:name w:val="Header"/>
    <w:basedOn w:val="Normal"/>
    <w:link w:val="lfejChar"/>
    <w:rsid w:val="00156b2d"/>
    <w:pPr>
      <w:tabs>
        <w:tab w:val="center" w:pos="4536" w:leader="none"/>
        <w:tab w:val="right" w:pos="9072" w:leader="none"/>
      </w:tabs>
    </w:pPr>
    <w:rPr/>
  </w:style>
  <w:style w:type="paragraph" w:styleId="TltlTextopatreniaArialNarrow11ptZa0pt" w:customStyle="1">
    <w:name w:val="Štýl Štýl Text opatrenia + Arial Narrow 11 pt + Za:  0 pt"/>
    <w:basedOn w:val="Normal"/>
    <w:qFormat/>
    <w:rsid w:val="00156b2d"/>
    <w:pPr>
      <w:spacing w:before="240" w:after="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styleId="Odstavec" w:customStyle="1">
    <w:name w:val="odstavec"/>
    <w:basedOn w:val="Normal"/>
    <w:autoRedefine/>
    <w:qFormat/>
    <w:rsid w:val="00156b2d"/>
    <w:pPr>
      <w:ind w:right="-79" w:hanging="0"/>
      <w:jc w:val="both"/>
    </w:pPr>
    <w:rPr>
      <w:sz w:val="24"/>
      <w:szCs w:val="24"/>
    </w:rPr>
  </w:style>
  <w:style w:type="paragraph" w:styleId="Default" w:customStyle="1">
    <w:name w:val="Default"/>
    <w:qFormat/>
    <w:rsid w:val="00156b2d"/>
    <w:pPr>
      <w:widowControl/>
      <w:bidi w:val="0"/>
      <w:spacing w:lineRule="auto" w:line="240" w:before="0" w:after="0"/>
      <w:jc w:val="left"/>
    </w:pPr>
    <w:rPr>
      <w:rFonts w:ascii="Arial" w:hAnsi="Arial" w:eastAsia="Times New Roman" w:cs="Arial"/>
      <w:color w:val="000000"/>
      <w:sz w:val="24"/>
      <w:szCs w:val="24"/>
      <w:lang w:eastAsia="sk-SK" w:val="sk-SK" w:bidi="ar-SA"/>
    </w:rPr>
  </w:style>
  <w:style w:type="paragraph" w:styleId="ListParagraph">
    <w:name w:val="List Paragraph"/>
    <w:basedOn w:val="Normal"/>
    <w:uiPriority w:val="34"/>
    <w:qFormat/>
    <w:rsid w:val="00cc160a"/>
    <w:pPr>
      <w:spacing w:before="0" w:after="0"/>
      <w:ind w:left="720" w:hanging="0"/>
      <w:contextualSpacing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Application>LibreOffice/5.3.2.2$Windows_x86 LibreOffice_project/6cd4f1ef626f15116896b1d8e1398b56da0d0ee1</Application>
  <Pages>32</Pages>
  <Words>4343</Words>
  <Characters>26909</Characters>
  <CharactersWithSpaces>31031</CharactersWithSpaces>
  <Paragraphs>806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2024-03-05T09:05:00Z</dcterms:created>
  <dc:creator>Ladislav Kisfaludi</dc:creator>
  <dc:description/>
  <dc:language>sk-SK</dc:language>
  <cp:lastModifiedBy>Ladislav Kisfaludi</cp:lastModifiedBy>
  <dcterms:modified xsi:type="dcterms:W3CDTF">2024-03-05T09:59:00Z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