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tulo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Informácie o účtovnej jednotke</w:t>
      </w:r>
      <w:bookmarkEnd w:id="0"/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Založenie spoločnosti</w:t>
      </w:r>
    </w:p>
    <w:p>
      <w:pPr>
        <w:pStyle w:val="Corpodetexto"/>
        <w:rPr>
          <w:szCs w:val="18"/>
        </w:rPr>
      </w:pPr>
      <w:r>
        <w:rPr>
          <w:szCs w:val="18"/>
        </w:rPr>
        <w:t>Spoločnosť ProfiStavbySRO s.r.o.. (pôvodný nárov PLANTIS s.r.o.), vznikla 22.3.2022. Valné zhromaždenie dňa 18.12.2023 schváliko zmenu obchodného názvu spoločnosti na nový názov ProfiStavbySRO s.r.o.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bookmarkStart w:id="1" w:name="_Toc530739896"/>
      <w:r>
        <w:rPr>
          <w:szCs w:val="18"/>
        </w:rPr>
        <w:t>Hlavnými činnosťami Spoločnosti sú:</w:t>
      </w:r>
      <w:bookmarkEnd w:id="1"/>
    </w:p>
    <w:p>
      <w:pPr>
        <w:pStyle w:val="Corpodetexto"/>
        <w:tabs>
          <w:tab w:val="left" w:pos="7905"/>
        </w:tabs>
        <w:rPr>
          <w:szCs w:val="18"/>
        </w:rPr>
      </w:pPr>
      <w:r>
        <w:rPr>
          <w:szCs w:val="18"/>
        </w:rPr>
        <w:t>– Uskutočnovanie stavieb a ich zmnien, dokončovacie stavebné práce pri realizácii exteriérov a interiérov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 xml:space="preserve">Počet zamestnancov </w:t>
      </w:r>
    </w:p>
    <w:p>
      <w:pPr>
        <w:pStyle w:val="Corpodetexto"/>
        <w:rPr>
          <w:szCs w:val="18"/>
        </w:rPr>
      </w:pPr>
      <w:r>
        <w:rPr>
          <w:szCs w:val="18"/>
        </w:rPr>
        <w:t>Spoločnosť k 31.12.2023 nezamestnávala žiadnych zamestnancov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Údaje o neobmedzenom ručení</w:t>
      </w:r>
    </w:p>
    <w:p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Právny dôvod na zostavenie účtovnej závierky</w:t>
      </w:r>
    </w:p>
    <w:p>
      <w:pPr>
        <w:pStyle w:val="Corpodetexto"/>
        <w:ind w:hanging="426"/>
        <w:rPr>
          <w:szCs w:val="18"/>
        </w:rPr>
      </w:pPr>
      <w:r>
        <w:rPr>
          <w:szCs w:val="18"/>
        </w:rPr>
        <w:tab/>
        <w:t>Účtovná závierka Spoločnosti k 31. decembru 2023 je zostavená ako riadna účtovná závierka podľa § 17 ods. 6 zákona NR SR č. 431/2002 Z. z. o účtovníctve za účtovné obdobie od 1. januára 2023 do 31. decembra 2023</w:t>
      </w:r>
    </w:p>
    <w:p>
      <w:pPr>
        <w:pStyle w:val="Corpodetexto"/>
        <w:ind w:hanging="426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Dátum schválenia účtovnej závierky za predchádzajúce účtovné obdobie</w:t>
      </w:r>
    </w:p>
    <w:p>
      <w:pPr>
        <w:pStyle w:val="Corpodetexto"/>
        <w:ind w:hanging="426"/>
        <w:rPr>
          <w:szCs w:val="18"/>
        </w:rPr>
      </w:pPr>
      <w:r>
        <w:rPr>
          <w:szCs w:val="18"/>
        </w:rPr>
        <w:tab/>
        <w:t>Účtovná závierka Spoločnosti k 31. decembru 2023</w:t>
      </w:r>
      <w:bookmarkStart w:id="2" w:name="_GoBack"/>
      <w:bookmarkEnd w:id="2"/>
      <w:r>
        <w:rPr>
          <w:szCs w:val="18"/>
        </w:rPr>
        <w:t>, za predchádzajúce účtovné obdobie, bola schválená valným zhromaždením Spoločnosti 23.3.2024.</w:t>
      </w:r>
    </w:p>
    <w:p>
      <w:pPr>
        <w:pStyle w:val="Corpodetexto"/>
        <w:ind w:hanging="426"/>
      </w:pPr>
    </w:p>
    <w:sectPr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MÚJ 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>
    <w:pPr>
      <w:pStyle w:val="Cabealho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>
    <w:pPr>
      <w:pStyle w:val="Cabealho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Ttulo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Ttulo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Ttulo1">
    <w:name w:val="heading 1"/>
    <w:basedOn w:val="Normal"/>
    <w:next w:val="Normal"/>
    <w:link w:val="Ttulo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Ttulo2">
    <w:name w:val="heading 2"/>
    <w:basedOn w:val="Normal"/>
    <w:next w:val="Normal"/>
    <w:link w:val="Ttulo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CabealhoChar">
    <w:name w:val="Cabeçalho Char"/>
    <w:basedOn w:val="Fontepargpadro"/>
    <w:link w:val="Cabealho"/>
    <w:uiPriority w:val="99"/>
  </w:style>
  <w:style w:type="paragraph" w:styleId="Rodap">
    <w:name w:val="footer"/>
    <w:basedOn w:val="Normal"/>
    <w:link w:val="Rodap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RodapChar">
    <w:name w:val="Rodapé Char"/>
    <w:basedOn w:val="Fontepargpadro"/>
    <w:link w:val="Rodap"/>
    <w:uiPriority w:val="99"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sz w:val="18"/>
      <w:szCs w:val="20"/>
    </w:rPr>
  </w:style>
  <w:style w:type="paragraph" w:styleId="Corpodetexto">
    <w:name w:val="Body Text"/>
    <w:basedOn w:val="Normal"/>
    <w:link w:val="CorpodetextoChar"/>
    <w:pPr>
      <w:ind w:left="426"/>
      <w:jc w:val="both"/>
    </w:pPr>
    <w:rPr>
      <w:sz w:val="18"/>
    </w:rPr>
  </w:style>
  <w:style w:type="character" w:customStyle="1" w:styleId="CorpodetextoChar">
    <w:name w:val="Corpo de texto Char"/>
    <w:basedOn w:val="Fontepargpadro"/>
    <w:link w:val="Corpodetexto"/>
    <w:rPr>
      <w:rFonts w:ascii="Times New Roman" w:eastAsia="Times New Roman" w:hAnsi="Times New Roman" w:cs="Times New Roman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Ttulo1">
    <w:name w:val="heading 1"/>
    <w:basedOn w:val="Normal"/>
    <w:next w:val="Normal"/>
    <w:link w:val="Ttulo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Ttulo2">
    <w:name w:val="heading 2"/>
    <w:basedOn w:val="Normal"/>
    <w:next w:val="Normal"/>
    <w:link w:val="Ttulo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CabealhoChar">
    <w:name w:val="Cabeçalho Char"/>
    <w:basedOn w:val="Fontepargpadro"/>
    <w:link w:val="Cabealho"/>
    <w:uiPriority w:val="99"/>
  </w:style>
  <w:style w:type="paragraph" w:styleId="Rodap">
    <w:name w:val="footer"/>
    <w:basedOn w:val="Normal"/>
    <w:link w:val="Rodap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RodapChar">
    <w:name w:val="Rodapé Char"/>
    <w:basedOn w:val="Fontepargpadro"/>
    <w:link w:val="Rodap"/>
    <w:uiPriority w:val="99"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sz w:val="18"/>
      <w:szCs w:val="20"/>
    </w:rPr>
  </w:style>
  <w:style w:type="paragraph" w:styleId="Corpodetexto">
    <w:name w:val="Body Text"/>
    <w:basedOn w:val="Normal"/>
    <w:link w:val="CorpodetextoChar"/>
    <w:pPr>
      <w:ind w:left="426"/>
      <w:jc w:val="both"/>
    </w:pPr>
    <w:rPr>
      <w:sz w:val="18"/>
    </w:rPr>
  </w:style>
  <w:style w:type="character" w:customStyle="1" w:styleId="CorpodetextoChar">
    <w:name w:val="Corpo de texto Char"/>
    <w:basedOn w:val="Fontepargpadro"/>
    <w:link w:val="Corpodetexto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9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DCD1DF-2AAB-4280-9BD7-0F1264E5A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933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dcterms:created xsi:type="dcterms:W3CDTF">2024-03-24T08:01:00Z</dcterms:created>
  <dcterms:modified xsi:type="dcterms:W3CDTF">2024-03-24T08:01:00Z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TCat_673b1cdc-2a59-4296-aa27-437df4486e52_Version">
    <vt:lpwstr>1</vt:lpwstr>
  </property>
  <property fmtid="{D5CDD505-2E9C-101B-9397-08002B2CF9AE}" pid="3" name="STCat_673b1cdc-2a59-4296-aa27-437df4486e52_Id">
    <vt:lpwstr>673b1cdc-2a59-4296-aa27-437df4486e52</vt:lpwstr>
  </property>
  <property fmtid="{D5CDD505-2E9C-101B-9397-08002B2CF9AE}" pid="4" name="STCat_673b1cdc-2a59-4296-aa27-437df4486e52_Name">
    <vt:lpwstr>INTERNE</vt:lpwstr>
  </property>
</Properties>
</file>