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734" w:rsidRDefault="00A06734" w:rsidP="00A06734">
      <w:pPr>
        <w:pStyle w:val="Standard"/>
        <w:spacing w:after="120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P</w:t>
      </w:r>
      <w:r w:rsidR="00EE5FF0">
        <w:rPr>
          <w:rFonts w:ascii="Calibri" w:eastAsia="Calibri" w:hAnsi="Calibri" w:cs="Calibri"/>
          <w:b/>
        </w:rPr>
        <w:t>OZNÁMKY K ÚČTOVNEJ ZÁVIERKE 2023</w:t>
      </w: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zostavené podľa Opatrenia </w:t>
      </w:r>
      <w:proofErr w:type="spellStart"/>
      <w:r>
        <w:rPr>
          <w:rFonts w:ascii="Calibri" w:eastAsia="Calibri" w:hAnsi="Calibri" w:cs="Calibri"/>
        </w:rPr>
        <w:t>č.MF</w:t>
      </w:r>
      <w:proofErr w:type="spellEnd"/>
      <w:r>
        <w:rPr>
          <w:rFonts w:ascii="Calibri" w:eastAsia="Calibri" w:hAnsi="Calibri" w:cs="Calibri"/>
        </w:rPr>
        <w:t>/23378/2014-74 (FS č.12/2014), ktorým sa ustanovujú podrobnosti o individuálnej účtovnej závierke a rozsahu údajov určených z individuálnej účtovnej závierky na zverejnenie</w:t>
      </w:r>
    </w:p>
    <w:p w:rsidR="00A06734" w:rsidRDefault="00A06734" w:rsidP="00A06734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 xml:space="preserve">pre </w:t>
      </w:r>
      <w:proofErr w:type="spellStart"/>
      <w:r>
        <w:rPr>
          <w:rFonts w:ascii="Calibri" w:eastAsia="Calibri" w:hAnsi="Calibri" w:cs="Calibri"/>
          <w:b/>
        </w:rPr>
        <w:t>mikro</w:t>
      </w:r>
      <w:proofErr w:type="spellEnd"/>
      <w:r>
        <w:rPr>
          <w:rFonts w:ascii="Calibri" w:eastAsia="Calibri" w:hAnsi="Calibri" w:cs="Calibri"/>
          <w:b/>
        </w:rPr>
        <w:t xml:space="preserve"> účtovné jednotky</w:t>
      </w:r>
    </w:p>
    <w:p w:rsidR="00A06734" w:rsidRDefault="00A06734" w:rsidP="00A06734">
      <w:pPr>
        <w:pStyle w:val="Standard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Článok I – VŠEOBECNÉ INFORMÁCIE</w:t>
      </w:r>
    </w:p>
    <w:p w:rsidR="00A06734" w:rsidRDefault="00A06734" w:rsidP="00A06734">
      <w:pPr>
        <w:pStyle w:val="Standard"/>
        <w:rPr>
          <w:rFonts w:hint="eastAsia"/>
        </w:rPr>
      </w:pPr>
    </w:p>
    <w:p w:rsidR="00A06734" w:rsidRDefault="00A06734" w:rsidP="00A06734">
      <w:pPr>
        <w:pStyle w:val="Standard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1) Základné informácie o účtovnej jednotke:</w:t>
      </w:r>
    </w:p>
    <w:p w:rsidR="00A06734" w:rsidRDefault="00A06734" w:rsidP="00A06734">
      <w:pPr>
        <w:pStyle w:val="Standard"/>
        <w:rPr>
          <w:rFonts w:hint="eastAsia"/>
        </w:rPr>
      </w:pPr>
    </w:p>
    <w:tbl>
      <w:tblPr>
        <w:tblW w:w="9714" w:type="dxa"/>
        <w:tblInd w:w="-21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5"/>
        <w:gridCol w:w="6879"/>
      </w:tblGrid>
      <w:tr w:rsidR="00A06734" w:rsidTr="006C5333">
        <w:trPr>
          <w:trHeight w:val="340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  <w:shd w:val="clear" w:color="auto" w:fill="FFFFFF"/>
              </w:rPr>
            </w:pPr>
            <w:proofErr w:type="spellStart"/>
            <w:r>
              <w:rPr>
                <w:rFonts w:ascii="Calibri" w:eastAsia="Calibri" w:hAnsi="Calibri" w:cs="Calibri"/>
                <w:shd w:val="clear" w:color="auto" w:fill="FFFFFF"/>
              </w:rPr>
              <w:t>Inspection</w:t>
            </w:r>
            <w:proofErr w:type="spellEnd"/>
            <w:r>
              <w:rPr>
                <w:rFonts w:ascii="Calibri" w:eastAsia="Calibri" w:hAnsi="Calibri" w:cs="Calibri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hd w:val="clear" w:color="auto" w:fill="FFFFFF"/>
              </w:rPr>
              <w:t>s.r.o</w:t>
            </w:r>
            <w:proofErr w:type="spellEnd"/>
            <w:r>
              <w:rPr>
                <w:rFonts w:ascii="Calibri" w:eastAsia="Calibri" w:hAnsi="Calibri" w:cs="Calibri"/>
                <w:shd w:val="clear" w:color="auto" w:fill="FFFFFF"/>
              </w:rPr>
              <w:t>.</w:t>
            </w:r>
          </w:p>
        </w:tc>
      </w:tr>
      <w:tr w:rsidR="00A06734" w:rsidTr="006C5333">
        <w:trPr>
          <w:trHeight w:val="380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  <w:shd w:val="clear" w:color="auto" w:fill="FFFFFF"/>
              </w:rPr>
            </w:pPr>
            <w:r>
              <w:rPr>
                <w:rFonts w:ascii="Calibri" w:eastAsia="Calibri" w:hAnsi="Calibri" w:cs="Calibri"/>
                <w:shd w:val="clear" w:color="auto" w:fill="FFFFFF"/>
              </w:rPr>
              <w:t>Kalinov 1493, Krásno nad Kysucou</w:t>
            </w:r>
          </w:p>
        </w:tc>
      </w:tr>
      <w:tr w:rsidR="00A06734" w:rsidTr="006C5333">
        <w:trPr>
          <w:trHeight w:val="180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Spoločnosť s ručením obmedzeným</w:t>
            </w:r>
          </w:p>
        </w:tc>
      </w:tr>
      <w:tr w:rsidR="00A06734" w:rsidTr="006C5333">
        <w:trPr>
          <w:trHeight w:val="220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 xml:space="preserve">Zápis do obchodného registra: </w:t>
            </w:r>
            <w:r>
              <w:rPr>
                <w:rFonts w:ascii="Calibri" w:eastAsia="Calibri" w:hAnsi="Calibri" w:cs="Calibri"/>
                <w:shd w:val="clear" w:color="auto" w:fill="FFFFFF"/>
              </w:rPr>
              <w:t xml:space="preserve"> 25.10.2013</w:t>
            </w:r>
          </w:p>
        </w:tc>
      </w:tr>
      <w:tr w:rsidR="00A06734" w:rsidTr="006C5333">
        <w:trPr>
          <w:trHeight w:val="260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ind w:right="1027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hint="eastAsia"/>
              </w:rPr>
            </w:pPr>
          </w:p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Služby spojené s prevádzkovaním bezpečnostných systémov</w:t>
            </w:r>
          </w:p>
        </w:tc>
      </w:tr>
      <w:tr w:rsidR="00A06734" w:rsidTr="006C5333">
        <w:trPr>
          <w:trHeight w:val="520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Spoločnosť MEDIK-</w:t>
            </w:r>
            <w:proofErr w:type="spellStart"/>
            <w:r>
              <w:rPr>
                <w:rFonts w:ascii="Calibri" w:eastAsia="Calibri" w:hAnsi="Calibri" w:cs="Calibri"/>
              </w:rPr>
              <w:t>C,s.r.o</w:t>
            </w:r>
            <w:proofErr w:type="spellEnd"/>
            <w:r>
              <w:rPr>
                <w:rFonts w:ascii="Calibri" w:eastAsia="Calibri" w:hAnsi="Calibri" w:cs="Calibri"/>
              </w:rPr>
              <w:t xml:space="preserve">. nie je subjektom verejného záujmu (§ 2/14 </w:t>
            </w:r>
            <w:proofErr w:type="spellStart"/>
            <w:r>
              <w:rPr>
                <w:rFonts w:ascii="Calibri" w:eastAsia="Calibri" w:hAnsi="Calibri" w:cs="Calibri"/>
              </w:rPr>
              <w:t>ZoU</w:t>
            </w:r>
            <w:proofErr w:type="spellEnd"/>
            <w:r>
              <w:rPr>
                <w:rFonts w:ascii="Calibri" w:eastAsia="Calibri" w:hAnsi="Calibri" w:cs="Calibri"/>
              </w:rPr>
              <w:t>).</w:t>
            </w:r>
          </w:p>
        </w:tc>
      </w:tr>
      <w:tr w:rsidR="00A06734" w:rsidTr="006C5333">
        <w:trPr>
          <w:trHeight w:val="300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F12C10" w:rsidP="006C533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Kalendárny</w:t>
            </w:r>
            <w:r w:rsidR="00EE5FF0">
              <w:rPr>
                <w:rFonts w:ascii="Calibri" w:eastAsia="Calibri" w:hAnsi="Calibri" w:cs="Calibri"/>
              </w:rPr>
              <w:t xml:space="preserve"> rok 2023</w:t>
            </w:r>
          </w:p>
        </w:tc>
      </w:tr>
    </w:tbl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UJ bola </w:t>
      </w:r>
      <w:r w:rsidR="001E3ED6">
        <w:rPr>
          <w:rFonts w:ascii="Calibri" w:eastAsia="Calibri" w:hAnsi="Calibri" w:cs="Calibri"/>
        </w:rPr>
        <w:t>v účtovnom období roku 202</w:t>
      </w:r>
      <w:r w:rsidR="00EE5FF0"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</w:rPr>
        <w:t xml:space="preserve"> – </w:t>
      </w:r>
      <w:proofErr w:type="spellStart"/>
      <w:r>
        <w:rPr>
          <w:rFonts w:ascii="Calibri" w:eastAsia="Calibri" w:hAnsi="Calibri" w:cs="Calibri"/>
        </w:rPr>
        <w:t>mikro</w:t>
      </w:r>
      <w:proofErr w:type="spellEnd"/>
      <w:r>
        <w:rPr>
          <w:rFonts w:ascii="Calibri" w:eastAsia="Calibri" w:hAnsi="Calibri" w:cs="Calibri"/>
        </w:rPr>
        <w:t xml:space="preserve"> účtovná jednotka, preto zostavuje účtovnú závierku podľa metodiky pre túto veľkostnú skupinu (Opatrenie </w:t>
      </w:r>
      <w:proofErr w:type="spellStart"/>
      <w:r>
        <w:rPr>
          <w:rFonts w:ascii="Calibri" w:eastAsia="Calibri" w:hAnsi="Calibri" w:cs="Calibri"/>
        </w:rPr>
        <w:t>č.MF</w:t>
      </w:r>
      <w:proofErr w:type="spellEnd"/>
      <w:r>
        <w:rPr>
          <w:rFonts w:ascii="Calibri" w:eastAsia="Calibri" w:hAnsi="Calibri" w:cs="Calibri"/>
        </w:rPr>
        <w:t>/23378/2014-74).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2) Dátum schválenia účtovnej závierky za bezprostredne predchádzajúce účtovné obdobie príslušným orgánom účtovnej jednotky:</w:t>
      </w:r>
      <w:r w:rsidR="00EE5FF0">
        <w:rPr>
          <w:rFonts w:ascii="Calibri" w:eastAsia="Calibri" w:hAnsi="Calibri" w:cs="Calibri"/>
        </w:rPr>
        <w:t xml:space="preserve"> 9.3.2023</w:t>
      </w: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A06734" w:rsidRDefault="00A06734" w:rsidP="00A06734">
      <w:pPr>
        <w:pStyle w:val="Standard"/>
        <w:widowControl w:val="0"/>
        <w:rPr>
          <w:rFonts w:hint="eastAsia"/>
        </w:rPr>
      </w:pPr>
      <w:r>
        <w:rPr>
          <w:rFonts w:ascii="Calibri" w:eastAsia="Calibri" w:hAnsi="Calibri" w:cs="Calibri"/>
        </w:rPr>
        <w:t xml:space="preserve">3) Právny dôvod na zostavenie účtovnej závierky: Účtovná závierka Spoločnosti k 31.12. je zostavená ako riadna účtovná závierka podľa §17 ods. 6 Zákona č. 431/2002 </w:t>
      </w:r>
      <w:proofErr w:type="spellStart"/>
      <w:r>
        <w:rPr>
          <w:rFonts w:ascii="Calibri" w:eastAsia="Calibri" w:hAnsi="Calibri" w:cs="Calibri"/>
        </w:rPr>
        <w:t>Z.z</w:t>
      </w:r>
      <w:proofErr w:type="spellEnd"/>
      <w:r>
        <w:rPr>
          <w:rFonts w:ascii="Calibri" w:eastAsia="Calibri" w:hAnsi="Calibri" w:cs="Calibri"/>
        </w:rPr>
        <w:t>. o účtovníctve z</w:t>
      </w:r>
      <w:r w:rsidR="00F12C10">
        <w:rPr>
          <w:rFonts w:ascii="Calibri" w:eastAsia="Calibri" w:hAnsi="Calibri" w:cs="Calibri"/>
        </w:rPr>
        <w:t>a účtovné obdobie od 01.01. 202</w:t>
      </w:r>
      <w:r w:rsidR="00EE5FF0"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</w:rPr>
        <w:t xml:space="preserve"> do 31.</w:t>
      </w:r>
      <w:r w:rsidR="00EE5FF0">
        <w:rPr>
          <w:rFonts w:ascii="Calibri" w:eastAsia="Calibri" w:hAnsi="Calibri" w:cs="Calibri"/>
        </w:rPr>
        <w:t xml:space="preserve"> 12.2023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4) ÚJ nie je v skupine účtovných jednotiek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5) Priemerný prepočítaný počet zamestnancov účtovnej jednotky:</w:t>
      </w:r>
    </w:p>
    <w:tbl>
      <w:tblPr>
        <w:tblW w:w="9747" w:type="dxa"/>
        <w:tblInd w:w="-2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55"/>
        <w:gridCol w:w="2523"/>
        <w:gridCol w:w="2369"/>
      </w:tblGrid>
      <w:tr w:rsidR="00A06734" w:rsidTr="006C5333">
        <w:trPr>
          <w:trHeight w:val="520"/>
        </w:trPr>
        <w:tc>
          <w:tcPr>
            <w:tcW w:w="4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ind w:right="459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Bežné účtovné obdobie</w:t>
            </w:r>
          </w:p>
        </w:tc>
        <w:tc>
          <w:tcPr>
            <w:tcW w:w="2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Bezprostredne predchádzajúce účtovné obdobie</w:t>
            </w:r>
          </w:p>
        </w:tc>
      </w:tr>
      <w:tr w:rsidR="00A06734" w:rsidTr="006C5333">
        <w:trPr>
          <w:trHeight w:val="160"/>
        </w:trPr>
        <w:tc>
          <w:tcPr>
            <w:tcW w:w="4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</w:tr>
    </w:tbl>
    <w:p w:rsidR="00A06734" w:rsidRDefault="00A06734" w:rsidP="00A06734">
      <w:pPr>
        <w:pStyle w:val="Standard"/>
        <w:ind w:left="928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Článok II – INFORMÁCIE O ORGÁNOCH SPOLOČNOSTI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  <w:b/>
        </w:rPr>
        <w:lastRenderedPageBreak/>
        <w:t>Informácie o orgánoch účtovnej jednotky</w:t>
      </w:r>
      <w:r>
        <w:rPr>
          <w:rFonts w:ascii="Calibri" w:eastAsia="Calibri" w:hAnsi="Calibri" w:cs="Calibri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981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A06734" w:rsidTr="006C5333">
        <w:trPr>
          <w:trHeight w:val="8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Orgány účtovnej jednotky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Bežné účtovné obdobie</w:t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Bezprostredne predchádzajúce účtovné obdobie</w:t>
            </w:r>
          </w:p>
        </w:tc>
      </w:tr>
      <w:tr w:rsidR="00A06734" w:rsidTr="006C5333">
        <w:trPr>
          <w:trHeight w:val="24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Štatutárny orgán/Spoločník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ascii="Calibri" w:eastAsia="Calibri" w:hAnsi="Calibri" w:cs="Calibri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ascii="Calibri" w:eastAsia="Calibri" w:hAnsi="Calibri" w:cs="Calibri"/>
              </w:rPr>
            </w:pPr>
          </w:p>
        </w:tc>
      </w:tr>
      <w:tr w:rsidR="00A06734" w:rsidTr="006C5333">
        <w:trPr>
          <w:trHeight w:val="24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numPr>
                <w:ilvl w:val="0"/>
                <w:numId w:val="4"/>
              </w:numPr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</w:tr>
      <w:tr w:rsidR="00A06734" w:rsidTr="006C5333">
        <w:trPr>
          <w:trHeight w:val="14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numPr>
                <w:ilvl w:val="0"/>
                <w:numId w:val="5"/>
              </w:numPr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</w:tc>
      </w:tr>
      <w:tr w:rsidR="00A06734" w:rsidTr="006C5333">
        <w:trPr>
          <w:trHeight w:val="1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</w:tr>
      <w:tr w:rsidR="00A06734" w:rsidTr="006C5333">
        <w:trPr>
          <w:trHeight w:val="1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numPr>
                <w:ilvl w:val="0"/>
                <w:numId w:val="2"/>
              </w:numPr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</w:tr>
      <w:tr w:rsidR="00A06734" w:rsidTr="006C5333">
        <w:trPr>
          <w:trHeight w:val="1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numPr>
                <w:ilvl w:val="0"/>
                <w:numId w:val="2"/>
              </w:numPr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</w:tr>
      <w:tr w:rsidR="00A06734" w:rsidTr="006C5333">
        <w:trPr>
          <w:trHeight w:val="1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ind w:left="720"/>
              <w:rPr>
                <w:rFonts w:hint="eastAsia"/>
              </w:rPr>
            </w:pP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</w:tr>
    </w:tbl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Článok III – INFORMÁCIE O PRIJATÝCH POSTUPOCH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1) Účtovná závierka je zostavená za splnenia predpokladu, že ÚJ bude nepretržite pokračovať vo svojej činnosti minimálne 12 mesiacov po </w:t>
      </w:r>
      <w:proofErr w:type="spellStart"/>
      <w:r>
        <w:rPr>
          <w:rFonts w:ascii="Calibri" w:eastAsia="Calibri" w:hAnsi="Calibri" w:cs="Calibri"/>
        </w:rPr>
        <w:t>závierkovom</w:t>
      </w:r>
      <w:proofErr w:type="spellEnd"/>
      <w:r>
        <w:rPr>
          <w:rFonts w:ascii="Calibri" w:eastAsia="Calibri" w:hAnsi="Calibri" w:cs="Calibri"/>
        </w:rPr>
        <w:t xml:space="preserve"> dni v zmysle § 7 ods. 4 zákona o účtovníctve.</w:t>
      </w: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2) Účtovné metódy vychádzajúce z interných smerníc spoločnosti a všeobecné účtovné zásady boli účtovnou jednotkou konzistentne aplikované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3) ÚJ neeviduje žiadne transakcie, ktoré sa neuvádzajú v súvahe.</w:t>
      </w: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4) Spôsob a určenie oceňovania majetku a záväzkov (vrátane rozhodujúcich odhadov):</w:t>
      </w: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a) Spôsob oceňovania majetku a záväzkov (§ 25 </w:t>
      </w:r>
      <w:proofErr w:type="spellStart"/>
      <w:r>
        <w:rPr>
          <w:rFonts w:ascii="Calibri" w:eastAsia="Calibri" w:hAnsi="Calibri" w:cs="Calibri"/>
        </w:rPr>
        <w:t>ZoU</w:t>
      </w:r>
      <w:proofErr w:type="spellEnd"/>
      <w:r>
        <w:rPr>
          <w:rFonts w:ascii="Calibri" w:eastAsia="Calibri" w:hAnsi="Calibri" w:cs="Calibri"/>
        </w:rPr>
        <w:t>):</w:t>
      </w:r>
    </w:p>
    <w:p w:rsidR="00A06734" w:rsidRDefault="00A06734" w:rsidP="00A06734">
      <w:pPr>
        <w:pStyle w:val="Standard"/>
        <w:widowControl w:val="0"/>
        <w:tabs>
          <w:tab w:val="left" w:pos="808"/>
        </w:tabs>
        <w:jc w:val="both"/>
        <w:rPr>
          <w:rFonts w:hint="eastAsia"/>
        </w:rPr>
      </w:pPr>
    </w:p>
    <w:tbl>
      <w:tblPr>
        <w:tblW w:w="9606" w:type="dxa"/>
        <w:tblInd w:w="-2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Spôsob oceňovania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Reprodukčná 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Dlhodobý hmotný majetok externe kúpený: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Reprodukčná 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Dlhodobý finančný majetok: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Reprodukčná 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12.2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Majetok a záväzky zabezpečené derivátmi: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</w:tbl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b) Trvalé zníženie hodnoty majetku nebolo účtované.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c) Záväzky účtovná jednotka ocenila menovitou hodnotou záväzkov.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d) Účtovná jednotka nepoužila dobrovoľné oceňovanie obchodných podielov metódou vlastného imania (§ 27/9 </w:t>
      </w:r>
      <w:proofErr w:type="spellStart"/>
      <w:r>
        <w:rPr>
          <w:rFonts w:ascii="Calibri" w:eastAsia="Calibri" w:hAnsi="Calibri" w:cs="Calibri"/>
        </w:rPr>
        <w:t>ZoU</w:t>
      </w:r>
      <w:proofErr w:type="spellEnd"/>
      <w:r>
        <w:rPr>
          <w:rFonts w:ascii="Calibri" w:eastAsia="Calibri" w:hAnsi="Calibri" w:cs="Calibri"/>
        </w:rPr>
        <w:t>).</w:t>
      </w:r>
    </w:p>
    <w:p w:rsidR="00A06734" w:rsidRDefault="00A06734" w:rsidP="00A06734">
      <w:pPr>
        <w:pStyle w:val="Standard"/>
        <w:keepNext/>
        <w:tabs>
          <w:tab w:val="left" w:pos="1005"/>
        </w:tabs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keepNext/>
        <w:tabs>
          <w:tab w:val="left" w:pos="1005"/>
        </w:tabs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f) Tvorba odpisového plánu pre dlhodobý majetok, pričom sa uvádza doba odpisovania, sadzby odpisov a odpisové metódy pre účtovné odpisy:</w:t>
      </w:r>
    </w:p>
    <w:tbl>
      <w:tblPr>
        <w:tblW w:w="9606" w:type="dxa"/>
        <w:tblInd w:w="-2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7"/>
        <w:gridCol w:w="1014"/>
        <w:gridCol w:w="2107"/>
        <w:gridCol w:w="2268"/>
      </w:tblGrid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Dlhodobý hmotný a nehmotný</w:t>
            </w:r>
          </w:p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odpisovaný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číslo</w:t>
            </w:r>
          </w:p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doba odpisovania</w:t>
            </w:r>
          </w:p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(počet rokov)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odpisová sadzba</w:t>
            </w:r>
          </w:p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(%)</w:t>
            </w:r>
          </w:p>
        </w:tc>
      </w:tr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Software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Ostatný DNM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019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Stavby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</w:tr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Počítače s príslušenstvom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Dopravné prostriedky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Ostatné stroje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Ostatný dlhodobý hmotný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</w:tbl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A06734" w:rsidRDefault="00A06734" w:rsidP="00A06734">
      <w:pPr>
        <w:pStyle w:val="Standard"/>
        <w:spacing w:after="1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Komentár k odpisovému plánu:</w:t>
      </w:r>
    </w:p>
    <w:p w:rsidR="00A06734" w:rsidRDefault="00A06734" w:rsidP="00A06734">
      <w:pPr>
        <w:pStyle w:val="Standard"/>
        <w:numPr>
          <w:ilvl w:val="0"/>
          <w:numId w:val="6"/>
        </w:numPr>
        <w:spacing w:after="120"/>
        <w:ind w:left="227" w:hanging="22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A06734" w:rsidRDefault="00A06734" w:rsidP="00A067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A06734" w:rsidRDefault="00A06734" w:rsidP="00A067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UJ odpisuje jednotlivé veci alebo relevantné súbory hnuteľných vecí (napr. počítačová sieť, nábytková zostava). UJ nepoužíva </w:t>
      </w:r>
      <w:proofErr w:type="spellStart"/>
      <w:r>
        <w:rPr>
          <w:rFonts w:ascii="Calibri" w:eastAsia="Calibri" w:hAnsi="Calibri" w:cs="Calibri"/>
        </w:rPr>
        <w:t>komponentné</w:t>
      </w:r>
      <w:proofErr w:type="spellEnd"/>
      <w:r>
        <w:rPr>
          <w:rFonts w:ascii="Calibri" w:eastAsia="Calibri" w:hAnsi="Calibri" w:cs="Calibri"/>
        </w:rPr>
        <w:t xml:space="preserve"> odpisovanie (odpisovanie častí majetku - komponentov).</w:t>
      </w:r>
    </w:p>
    <w:p w:rsidR="00A06734" w:rsidRDefault="00A06734" w:rsidP="00A067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hint="eastAsia"/>
        </w:rPr>
      </w:pPr>
      <w:r>
        <w:rPr>
          <w:rFonts w:ascii="Calibri" w:eastAsia="Calibri" w:hAnsi="Calibri" w:cs="Calibri"/>
        </w:rPr>
        <w:t>UJ nepoužila jednorazový odpis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</w:rPr>
        <w:t>dlhodobého majetku z dôvodu jednorazového trvalého zníženia hodnoty majetku (§ 21/5 PU).</w:t>
      </w:r>
    </w:p>
    <w:p w:rsidR="00A06734" w:rsidRDefault="00A06734" w:rsidP="00A067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ÚJ nepoužíva kategóriu drobného dlhodobého nehmotného majetku - položky pod 2 400 eur jednotkovej ceny so životnosťou nad jeden rok (§ 13/2 PU).</w:t>
      </w:r>
    </w:p>
    <w:p w:rsidR="00A06734" w:rsidRDefault="00A06734" w:rsidP="00A067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ÚJ nepoužíva kategóriu drobného dlhodobého hmotného majetku - položky pod 1 700 eur jednotkovej ceny so životnosťou nad jeden rok (§ 13/6 PU).</w:t>
      </w:r>
    </w:p>
    <w:p w:rsidR="00A06734" w:rsidRDefault="00A06734" w:rsidP="00A067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A06734" w:rsidRDefault="00A06734" w:rsidP="00A06734">
      <w:pPr>
        <w:pStyle w:val="Standard"/>
        <w:numPr>
          <w:ilvl w:val="0"/>
          <w:numId w:val="3"/>
        </w:numPr>
        <w:spacing w:after="120"/>
        <w:ind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ÚJ nepoužíva dobrovoľnú kapitalizáciu úrokov do obstarávacej ceny odpisovaného dlhodobého hmotného majetku alebo dlhodobého nehmotného majetku (§ 34/1 PU; § 35/2/h PU).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rPr>
          <w:rFonts w:hint="eastAsia"/>
        </w:rPr>
      </w:pPr>
      <w:r>
        <w:rPr>
          <w:rFonts w:ascii="Calibri" w:eastAsia="Calibri" w:hAnsi="Calibri" w:cs="Calibri"/>
        </w:rPr>
        <w:t>g) ÚJ neb</w:t>
      </w:r>
      <w:r w:rsidR="00F12C10">
        <w:rPr>
          <w:rFonts w:ascii="Calibri" w:eastAsia="Calibri" w:hAnsi="Calibri" w:cs="Calibri"/>
        </w:rPr>
        <w:t>o</w:t>
      </w:r>
      <w:r w:rsidR="00EE5FF0">
        <w:rPr>
          <w:rFonts w:ascii="Calibri" w:eastAsia="Calibri" w:hAnsi="Calibri" w:cs="Calibri"/>
        </w:rPr>
        <w:t>li v zdaňovacom období roku 2023</w:t>
      </w:r>
      <w:r>
        <w:rPr>
          <w:rFonts w:ascii="Calibri" w:eastAsia="Calibri" w:hAnsi="Calibri" w:cs="Calibri"/>
        </w:rPr>
        <w:t xml:space="preserve"> poskytnuté žiadne dotácie</w:t>
      </w:r>
    </w:p>
    <w:p w:rsidR="00A06734" w:rsidRDefault="00A06734" w:rsidP="00A06734">
      <w:pPr>
        <w:pStyle w:val="Standard"/>
        <w:keepNext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rPr>
          <w:rFonts w:hint="eastAsia"/>
        </w:rPr>
      </w:pPr>
      <w:r>
        <w:rPr>
          <w:rFonts w:ascii="Calibri" w:eastAsia="Calibri" w:hAnsi="Calibri" w:cs="Calibri"/>
        </w:rPr>
        <w:t xml:space="preserve">5) </w:t>
      </w:r>
      <w:r w:rsidR="00DD1BD9">
        <w:rPr>
          <w:rFonts w:ascii="Calibri" w:eastAsia="Calibri" w:hAnsi="Calibri" w:cs="Calibri"/>
        </w:rPr>
        <w:t>ÚJ v zdaňovacom období roku 202</w:t>
      </w:r>
      <w:r w:rsidR="00EE5FF0">
        <w:rPr>
          <w:rFonts w:ascii="Calibri" w:eastAsia="Calibri" w:hAnsi="Calibri" w:cs="Calibri"/>
        </w:rPr>
        <w:t>3</w:t>
      </w:r>
      <w:bookmarkStart w:id="0" w:name="_GoBack"/>
      <w:bookmarkEnd w:id="0"/>
      <w:r>
        <w:rPr>
          <w:rFonts w:ascii="Calibri" w:eastAsia="Calibri" w:hAnsi="Calibri" w:cs="Calibri"/>
        </w:rPr>
        <w:t xml:space="preserve"> nevykonala žiadne opravy významných chýb.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Článok IV – INFORMÁCIE, KTORÉ VYSVETĽUJÚ A DOPĹŇAJÚ SÚVAHU A VÝKAZ ZISKOV A STRÁT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1) ÚJ neeviduje žiadne položky nehmotného majetku.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2) ÚJ neeviduje žiadne položky významných derivátov, majetku a záväzkoch zabezpečených derivátmi.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ako 5 rokov:  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tbl>
      <w:tblPr>
        <w:tblW w:w="971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5"/>
        <w:gridCol w:w="2551"/>
        <w:gridCol w:w="2378"/>
      </w:tblGrid>
      <w:tr w:rsidR="00A06734" w:rsidTr="006C5333">
        <w:trPr>
          <w:trHeight w:val="680"/>
          <w:jc w:val="center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Názov položky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Bežné účtovné obdobie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Bezprostredne predchádzajúce účtovné obdobie</w:t>
            </w:r>
          </w:p>
        </w:tc>
      </w:tr>
      <w:tr w:rsidR="00A06734" w:rsidTr="006C5333">
        <w:trPr>
          <w:trHeight w:val="200"/>
          <w:jc w:val="center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Záväzky so zostatkovou dobou splatnosti nad 5 rokov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:rsidR="00A06734" w:rsidRDefault="00A06734" w:rsidP="00A06734">
      <w:pPr>
        <w:pStyle w:val="Standard"/>
        <w:spacing w:before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3b) ÚJ neeviduje žiadne položky zabezpečených záväzkov.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4) ÚJ neeviduje žiadne vlastné akcie.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5) ÚJ neeviduje žiadne položky nákladov alebo výnosov, ktoré majú výnimočný rozsah alebo výskyt.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Článok V – INFORMÁCIE O INÝCH AKTÍVACH A INÝCH PASÍVACH</w:t>
      </w:r>
    </w:p>
    <w:p w:rsidR="00A06734" w:rsidRDefault="00A06734" w:rsidP="00A06734">
      <w:pPr>
        <w:pStyle w:val="Standard"/>
        <w:spacing w:after="120"/>
        <w:jc w:val="center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1a) ÚJ neeviduje žiadne položky podmieneného majetku.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1b) ÚJ neeviduje žiadne položky podmienených záväzkov.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2) ÚJ neeviduje žiadne ostatné finančné povinnosti, ktoré a nevykazujú v účtovných výkazoch.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 V účtovníctve ÚJ sa nenachádzajú žiadne položky evidované na podsúvahových účtoch.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Článok VI – UDALOSTI, KTORÉ NASTALI PO ZÁVIERKOVOM DNI</w:t>
      </w: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(Následné udalosti)</w:t>
      </w:r>
    </w:p>
    <w:p w:rsidR="00A06734" w:rsidRDefault="00A06734" w:rsidP="00A06734">
      <w:pPr>
        <w:pStyle w:val="Standard"/>
        <w:jc w:val="center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ÚJ neeviduje žiadne udalosti, ktoré nastali po </w:t>
      </w:r>
      <w:proofErr w:type="spellStart"/>
      <w:r>
        <w:rPr>
          <w:rFonts w:ascii="Calibri" w:eastAsia="Calibri" w:hAnsi="Calibri" w:cs="Calibri"/>
        </w:rPr>
        <w:t>závierkovom</w:t>
      </w:r>
      <w:proofErr w:type="spellEnd"/>
      <w:r>
        <w:rPr>
          <w:rFonts w:ascii="Calibri" w:eastAsia="Calibri" w:hAnsi="Calibri" w:cs="Calibri"/>
        </w:rPr>
        <w:t xml:space="preserve"> dni.</w:t>
      </w:r>
    </w:p>
    <w:p w:rsidR="00A06734" w:rsidRDefault="00A06734" w:rsidP="00A06734">
      <w:pPr>
        <w:pStyle w:val="Standard"/>
        <w:jc w:val="center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Článok VII – OSTATNÉ INFORMÁCIE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1) ÚJ nemá žiadne právo poskytovať služby vo verejnom záujme.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2) ÚJ nemá žiadnu priemyselnú výrobu. (§ 23d/6 </w:t>
      </w:r>
      <w:proofErr w:type="spellStart"/>
      <w:r>
        <w:rPr>
          <w:rFonts w:ascii="Calibri" w:eastAsia="Calibri" w:hAnsi="Calibri" w:cs="Calibri"/>
        </w:rPr>
        <w:t>ZoU</w:t>
      </w:r>
      <w:proofErr w:type="spellEnd"/>
      <w:r>
        <w:rPr>
          <w:rFonts w:ascii="Calibri" w:eastAsia="Calibri" w:hAnsi="Calibri" w:cs="Calibri"/>
        </w:rPr>
        <w:t>)</w:t>
      </w: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3) ÚJ nemá žiadne finančné vzťahy s orgánmi verejnej moci. (§ 23d/6 </w:t>
      </w:r>
      <w:proofErr w:type="spellStart"/>
      <w:r>
        <w:rPr>
          <w:rFonts w:ascii="Calibri" w:eastAsia="Calibri" w:hAnsi="Calibri" w:cs="Calibri"/>
        </w:rPr>
        <w:t>ZoU</w:t>
      </w:r>
      <w:proofErr w:type="spellEnd"/>
      <w:r>
        <w:rPr>
          <w:rFonts w:ascii="Calibri" w:eastAsia="Calibri" w:hAnsi="Calibri" w:cs="Calibri"/>
        </w:rPr>
        <w:t>)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173538" w:rsidRDefault="00173538">
      <w:pPr>
        <w:rPr>
          <w:rFonts w:hint="eastAsia"/>
        </w:rPr>
      </w:pPr>
    </w:p>
    <w:sectPr w:rsidR="00173538">
      <w:pgSz w:w="11906" w:h="16838"/>
      <w:pgMar w:top="1134" w:right="1134" w:bottom="1134" w:left="1134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C0F52"/>
    <w:multiLevelType w:val="multilevel"/>
    <w:tmpl w:val="D6421A8C"/>
    <w:styleLink w:val="WWNum1"/>
    <w:lvl w:ilvl="0">
      <w:numFmt w:val="bullet"/>
      <w:lvlText w:val="-"/>
      <w:lvlJc w:val="left"/>
      <w:pPr>
        <w:ind w:left="720" w:firstLine="360"/>
      </w:pPr>
      <w:rPr>
        <w:rFonts w:ascii="Arial" w:hAnsi="Arial" w:cs="Arial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440" w:firstLine="1080"/>
      </w:pPr>
      <w:rPr>
        <w:rFonts w:ascii="Arial" w:hAnsi="Arial" w:cs="Arial"/>
        <w:position w:val="0"/>
        <w:sz w:val="24"/>
        <w:vertAlign w:val="baseline"/>
      </w:rPr>
    </w:lvl>
    <w:lvl w:ilvl="2">
      <w:numFmt w:val="bullet"/>
      <w:lvlText w:val="▪"/>
      <w:lvlJc w:val="left"/>
      <w:pPr>
        <w:ind w:left="2160" w:firstLine="1800"/>
      </w:pPr>
      <w:rPr>
        <w:rFonts w:ascii="Arial" w:hAnsi="Arial" w:cs="Arial"/>
        <w:position w:val="0"/>
        <w:sz w:val="24"/>
        <w:vertAlign w:val="baseline"/>
      </w:rPr>
    </w:lvl>
    <w:lvl w:ilvl="3">
      <w:numFmt w:val="bullet"/>
      <w:lvlText w:val="●"/>
      <w:lvlJc w:val="left"/>
      <w:pPr>
        <w:ind w:left="2880" w:firstLine="2520"/>
      </w:pPr>
      <w:rPr>
        <w:rFonts w:ascii="Arial" w:hAnsi="Arial" w:cs="Arial"/>
        <w:position w:val="0"/>
        <w:sz w:val="24"/>
        <w:vertAlign w:val="baseline"/>
      </w:rPr>
    </w:lvl>
    <w:lvl w:ilvl="4">
      <w:numFmt w:val="bullet"/>
      <w:lvlText w:val="o"/>
      <w:lvlJc w:val="left"/>
      <w:pPr>
        <w:ind w:left="3600" w:firstLine="3240"/>
      </w:pPr>
      <w:rPr>
        <w:rFonts w:ascii="Arial" w:hAnsi="Arial" w:cs="Arial"/>
        <w:position w:val="0"/>
        <w:sz w:val="24"/>
        <w:vertAlign w:val="baseline"/>
      </w:rPr>
    </w:lvl>
    <w:lvl w:ilvl="5">
      <w:numFmt w:val="bullet"/>
      <w:lvlText w:val="▪"/>
      <w:lvlJc w:val="left"/>
      <w:pPr>
        <w:ind w:left="4320" w:firstLine="3960"/>
      </w:pPr>
      <w:rPr>
        <w:rFonts w:ascii="Arial" w:hAnsi="Arial" w:cs="Arial"/>
        <w:position w:val="0"/>
        <w:sz w:val="24"/>
        <w:vertAlign w:val="baseline"/>
      </w:rPr>
    </w:lvl>
    <w:lvl w:ilvl="6">
      <w:numFmt w:val="bullet"/>
      <w:lvlText w:val="●"/>
      <w:lvlJc w:val="left"/>
      <w:pPr>
        <w:ind w:left="5040" w:firstLine="4680"/>
      </w:pPr>
      <w:rPr>
        <w:rFonts w:ascii="Arial" w:hAnsi="Arial" w:cs="Arial"/>
        <w:position w:val="0"/>
        <w:sz w:val="24"/>
        <w:vertAlign w:val="baseline"/>
      </w:rPr>
    </w:lvl>
    <w:lvl w:ilvl="7">
      <w:numFmt w:val="bullet"/>
      <w:lvlText w:val="o"/>
      <w:lvlJc w:val="left"/>
      <w:pPr>
        <w:ind w:left="5760" w:firstLine="5400"/>
      </w:pPr>
      <w:rPr>
        <w:rFonts w:ascii="Arial" w:hAnsi="Arial" w:cs="Arial"/>
        <w:position w:val="0"/>
        <w:sz w:val="24"/>
        <w:vertAlign w:val="baseline"/>
      </w:rPr>
    </w:lvl>
    <w:lvl w:ilvl="8">
      <w:numFmt w:val="bullet"/>
      <w:lvlText w:val="▪"/>
      <w:lvlJc w:val="left"/>
      <w:pPr>
        <w:ind w:left="6480" w:firstLine="6120"/>
      </w:pPr>
      <w:rPr>
        <w:rFonts w:ascii="Arial" w:hAnsi="Arial" w:cs="Arial"/>
        <w:position w:val="0"/>
        <w:sz w:val="24"/>
        <w:vertAlign w:val="baseline"/>
      </w:rPr>
    </w:lvl>
  </w:abstractNum>
  <w:abstractNum w:abstractNumId="1" w15:restartNumberingAfterBreak="0">
    <w:nsid w:val="596D7F61"/>
    <w:multiLevelType w:val="multilevel"/>
    <w:tmpl w:val="E6DE99E2"/>
    <w:styleLink w:val="WWNum3"/>
    <w:lvl w:ilvl="0">
      <w:numFmt w:val="bullet"/>
      <w:lvlText w:val="-"/>
      <w:lvlJc w:val="left"/>
      <w:pPr>
        <w:ind w:left="720" w:firstLine="360"/>
      </w:pPr>
      <w:rPr>
        <w:rFonts w:ascii="Arial" w:hAnsi="Arial" w:cs="Arial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440" w:firstLine="1080"/>
      </w:pPr>
      <w:rPr>
        <w:rFonts w:ascii="Arial" w:hAnsi="Arial" w:cs="Arial"/>
        <w:position w:val="0"/>
        <w:sz w:val="24"/>
        <w:vertAlign w:val="baseline"/>
      </w:rPr>
    </w:lvl>
    <w:lvl w:ilvl="2">
      <w:numFmt w:val="bullet"/>
      <w:lvlText w:val="▪"/>
      <w:lvlJc w:val="left"/>
      <w:pPr>
        <w:ind w:left="2160" w:firstLine="1800"/>
      </w:pPr>
      <w:rPr>
        <w:rFonts w:ascii="Arial" w:hAnsi="Arial" w:cs="Arial"/>
        <w:position w:val="0"/>
        <w:sz w:val="24"/>
        <w:vertAlign w:val="baseline"/>
      </w:rPr>
    </w:lvl>
    <w:lvl w:ilvl="3">
      <w:numFmt w:val="bullet"/>
      <w:lvlText w:val="●"/>
      <w:lvlJc w:val="left"/>
      <w:pPr>
        <w:ind w:left="2880" w:firstLine="2520"/>
      </w:pPr>
      <w:rPr>
        <w:rFonts w:ascii="Arial" w:hAnsi="Arial" w:cs="Arial"/>
        <w:position w:val="0"/>
        <w:sz w:val="24"/>
        <w:vertAlign w:val="baseline"/>
      </w:rPr>
    </w:lvl>
    <w:lvl w:ilvl="4">
      <w:numFmt w:val="bullet"/>
      <w:lvlText w:val="o"/>
      <w:lvlJc w:val="left"/>
      <w:pPr>
        <w:ind w:left="3600" w:firstLine="3240"/>
      </w:pPr>
      <w:rPr>
        <w:rFonts w:ascii="Arial" w:hAnsi="Arial" w:cs="Arial"/>
        <w:position w:val="0"/>
        <w:sz w:val="24"/>
        <w:vertAlign w:val="baseline"/>
      </w:rPr>
    </w:lvl>
    <w:lvl w:ilvl="5">
      <w:numFmt w:val="bullet"/>
      <w:lvlText w:val="▪"/>
      <w:lvlJc w:val="left"/>
      <w:pPr>
        <w:ind w:left="4320" w:firstLine="3960"/>
      </w:pPr>
      <w:rPr>
        <w:rFonts w:ascii="Arial" w:hAnsi="Arial" w:cs="Arial"/>
        <w:position w:val="0"/>
        <w:sz w:val="24"/>
        <w:vertAlign w:val="baseline"/>
      </w:rPr>
    </w:lvl>
    <w:lvl w:ilvl="6">
      <w:numFmt w:val="bullet"/>
      <w:lvlText w:val="●"/>
      <w:lvlJc w:val="left"/>
      <w:pPr>
        <w:ind w:left="5040" w:firstLine="4680"/>
      </w:pPr>
      <w:rPr>
        <w:rFonts w:ascii="Arial" w:hAnsi="Arial" w:cs="Arial"/>
        <w:position w:val="0"/>
        <w:sz w:val="24"/>
        <w:vertAlign w:val="baseline"/>
      </w:rPr>
    </w:lvl>
    <w:lvl w:ilvl="7">
      <w:numFmt w:val="bullet"/>
      <w:lvlText w:val="o"/>
      <w:lvlJc w:val="left"/>
      <w:pPr>
        <w:ind w:left="5760" w:firstLine="5400"/>
      </w:pPr>
      <w:rPr>
        <w:rFonts w:ascii="Arial" w:hAnsi="Arial" w:cs="Arial"/>
        <w:position w:val="0"/>
        <w:sz w:val="24"/>
        <w:vertAlign w:val="baseline"/>
      </w:rPr>
    </w:lvl>
    <w:lvl w:ilvl="8">
      <w:numFmt w:val="bullet"/>
      <w:lvlText w:val="▪"/>
      <w:lvlJc w:val="left"/>
      <w:pPr>
        <w:ind w:left="6480" w:firstLine="6120"/>
      </w:pPr>
      <w:rPr>
        <w:rFonts w:ascii="Arial" w:hAnsi="Arial" w:cs="Arial"/>
        <w:position w:val="0"/>
        <w:sz w:val="24"/>
        <w:vertAlign w:val="baseline"/>
      </w:rPr>
    </w:lvl>
  </w:abstractNum>
  <w:abstractNum w:abstractNumId="2" w15:restartNumberingAfterBreak="0">
    <w:nsid w:val="741A643E"/>
    <w:multiLevelType w:val="multilevel"/>
    <w:tmpl w:val="F9443828"/>
    <w:styleLink w:val="WWNum2"/>
    <w:lvl w:ilvl="0">
      <w:numFmt w:val="bullet"/>
      <w:lvlText w:val="➢"/>
      <w:lvlJc w:val="left"/>
      <w:pPr>
        <w:ind w:left="360" w:firstLine="0"/>
      </w:pPr>
      <w:rPr>
        <w:rFonts w:ascii="Arial" w:hAnsi="Arial" w:cs="Arial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080" w:firstLine="720"/>
      </w:pPr>
      <w:rPr>
        <w:rFonts w:ascii="Arial" w:hAnsi="Arial" w:cs="Arial"/>
        <w:position w:val="0"/>
        <w:sz w:val="24"/>
        <w:vertAlign w:val="baseline"/>
      </w:rPr>
    </w:lvl>
    <w:lvl w:ilvl="2">
      <w:numFmt w:val="bullet"/>
      <w:lvlText w:val="▪"/>
      <w:lvlJc w:val="left"/>
      <w:pPr>
        <w:ind w:left="1800" w:firstLine="1440"/>
      </w:pPr>
      <w:rPr>
        <w:rFonts w:ascii="Arial" w:hAnsi="Arial" w:cs="Arial"/>
        <w:position w:val="0"/>
        <w:sz w:val="24"/>
        <w:vertAlign w:val="baseline"/>
      </w:rPr>
    </w:lvl>
    <w:lvl w:ilvl="3">
      <w:numFmt w:val="bullet"/>
      <w:lvlText w:val="●"/>
      <w:lvlJc w:val="left"/>
      <w:pPr>
        <w:ind w:left="2520" w:firstLine="2160"/>
      </w:pPr>
      <w:rPr>
        <w:rFonts w:ascii="Arial" w:hAnsi="Arial" w:cs="Arial"/>
        <w:position w:val="0"/>
        <w:sz w:val="24"/>
        <w:vertAlign w:val="baseline"/>
      </w:rPr>
    </w:lvl>
    <w:lvl w:ilvl="4">
      <w:numFmt w:val="bullet"/>
      <w:lvlText w:val="o"/>
      <w:lvlJc w:val="left"/>
      <w:pPr>
        <w:ind w:left="3240" w:firstLine="2880"/>
      </w:pPr>
      <w:rPr>
        <w:rFonts w:ascii="Arial" w:hAnsi="Arial" w:cs="Arial"/>
        <w:position w:val="0"/>
        <w:sz w:val="24"/>
        <w:vertAlign w:val="baseline"/>
      </w:rPr>
    </w:lvl>
    <w:lvl w:ilvl="5">
      <w:numFmt w:val="bullet"/>
      <w:lvlText w:val="▪"/>
      <w:lvlJc w:val="left"/>
      <w:pPr>
        <w:ind w:left="3960" w:firstLine="3600"/>
      </w:pPr>
      <w:rPr>
        <w:rFonts w:ascii="Arial" w:hAnsi="Arial" w:cs="Arial"/>
        <w:position w:val="0"/>
        <w:sz w:val="24"/>
        <w:vertAlign w:val="baseline"/>
      </w:rPr>
    </w:lvl>
    <w:lvl w:ilvl="6">
      <w:numFmt w:val="bullet"/>
      <w:lvlText w:val="●"/>
      <w:lvlJc w:val="left"/>
      <w:pPr>
        <w:ind w:left="4680" w:firstLine="4320"/>
      </w:pPr>
      <w:rPr>
        <w:rFonts w:ascii="Arial" w:hAnsi="Arial" w:cs="Arial"/>
        <w:position w:val="0"/>
        <w:sz w:val="24"/>
        <w:vertAlign w:val="baseline"/>
      </w:rPr>
    </w:lvl>
    <w:lvl w:ilvl="7">
      <w:numFmt w:val="bullet"/>
      <w:lvlText w:val="o"/>
      <w:lvlJc w:val="left"/>
      <w:pPr>
        <w:ind w:left="5400" w:firstLine="5040"/>
      </w:pPr>
      <w:rPr>
        <w:rFonts w:ascii="Arial" w:hAnsi="Arial" w:cs="Arial"/>
        <w:position w:val="0"/>
        <w:sz w:val="24"/>
        <w:vertAlign w:val="baseline"/>
      </w:rPr>
    </w:lvl>
    <w:lvl w:ilvl="8">
      <w:numFmt w:val="bullet"/>
      <w:lvlText w:val="▪"/>
      <w:lvlJc w:val="left"/>
      <w:pPr>
        <w:ind w:left="6120" w:firstLine="5760"/>
      </w:pPr>
      <w:rPr>
        <w:rFonts w:ascii="Arial" w:hAnsi="Arial" w:cs="Arial"/>
        <w:position w:val="0"/>
        <w:sz w:val="24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734"/>
    <w:rsid w:val="00173538"/>
    <w:rsid w:val="001E3ED6"/>
    <w:rsid w:val="00A06734"/>
    <w:rsid w:val="00DD1BD9"/>
    <w:rsid w:val="00EE5FF0"/>
    <w:rsid w:val="00F12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FF228D-D497-443C-AFBF-4E7BD7290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0673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A0673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WWNum3">
    <w:name w:val="WWNum3"/>
    <w:basedOn w:val="Bezzoznamu"/>
    <w:rsid w:val="00A06734"/>
    <w:pPr>
      <w:numPr>
        <w:numId w:val="1"/>
      </w:numPr>
    </w:pPr>
  </w:style>
  <w:style w:type="numbering" w:customStyle="1" w:styleId="WWNum1">
    <w:name w:val="WWNum1"/>
    <w:basedOn w:val="Bezzoznamu"/>
    <w:rsid w:val="00A06734"/>
    <w:pPr>
      <w:numPr>
        <w:numId w:val="2"/>
      </w:numPr>
    </w:pPr>
  </w:style>
  <w:style w:type="numbering" w:customStyle="1" w:styleId="WWNum2">
    <w:name w:val="WWNum2"/>
    <w:basedOn w:val="Bezzoznamu"/>
    <w:rsid w:val="00A06734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1198</Words>
  <Characters>6830</Characters>
  <Application>Microsoft Office Word</Application>
  <DocSecurity>0</DocSecurity>
  <Lines>56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</dc:creator>
  <cp:keywords/>
  <dc:description/>
  <cp:lastModifiedBy>Konto Microsoft</cp:lastModifiedBy>
  <cp:revision>2</cp:revision>
  <dcterms:created xsi:type="dcterms:W3CDTF">2024-03-25T10:54:00Z</dcterms:created>
  <dcterms:modified xsi:type="dcterms:W3CDTF">2024-03-25T10:54:00Z</dcterms:modified>
</cp:coreProperties>
</file>