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 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3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1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1414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1133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5386</w:t>
            </w:r>
          </w:p>
        </w:tc>
        <w:tc>
          <w:tcPr>
            <w:tcW w:w="171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5667</w:t>
            </w: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1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hmotnom majetku </w:t>
      </w:r>
    </w:p>
    <w:tbl>
      <w:tblPr/>
      <w:tblGrid>
        <w:gridCol w:w="6166"/>
        <w:gridCol w:w="3046"/>
      </w:tblGrid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61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61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</w:tr>
      <w:tr>
        <w:trPr>
          <w:trHeight w:val="1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čtov-ného obdobia</w:t>
            </w: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 poskytnutých dlhodobých pôžičkách</w:t>
      </w:r>
    </w:p>
    <w:tbl>
      <w:tblPr/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10"/>
        <w:gridCol w:w="2801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1"/>
        <w:gridCol w:w="2410"/>
        <w:gridCol w:w="2517"/>
      </w:tblGrid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 z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210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210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190</w:t>
            </w: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190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400</w:t>
            </w: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2333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4418</w:t>
            </w: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2395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4426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9541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9541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9541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40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30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3202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4408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3202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4408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31551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31551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-8234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-8234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-9541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-9541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  <w:t xml:space="preserve">Vysvetlivky k poznámkam: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ňové identifikačné číslo sa vyplňuje, ak ho má účtovná jednotka pridelené.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Identifika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čné číslo organizácie (IČO) sa vyplňuje podľa Registra organizácií vedeného Štatistickým úradom Slovenskej republiky.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Kód SK NACE sa vyp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Údaje, ktorými sú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2, 4 a 6 sa prvotným ocenením majetku rozumie jeho ocenenie podľa § 25 zákona.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