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3BDB76" w14:textId="192C0BEF" w:rsidR="00013757" w:rsidRPr="00013757" w:rsidRDefault="00013757" w:rsidP="00013757">
      <w:pPr>
        <w:spacing w:line="240" w:lineRule="auto"/>
        <w:contextualSpacing/>
        <w:jc w:val="center"/>
        <w:rPr>
          <w:rFonts w:ascii="Calibri" w:hAnsi="Calibri" w:cs="Calibri"/>
        </w:rPr>
      </w:pPr>
      <w:r w:rsidRPr="00013757">
        <w:rPr>
          <w:rFonts w:ascii="Calibri" w:hAnsi="Calibri" w:cs="Calibri"/>
          <w:b/>
          <w:bCs/>
        </w:rPr>
        <w:t>POZNÁMKY INDIVIDUÁLNEJ ÚČTOVNEJ ZÁVIERKY</w:t>
      </w:r>
    </w:p>
    <w:p w14:paraId="6B646B88" w14:textId="61FA4BA2" w:rsidR="00013757" w:rsidRPr="00013757" w:rsidRDefault="00013757" w:rsidP="00013757">
      <w:pPr>
        <w:spacing w:line="240" w:lineRule="auto"/>
        <w:contextualSpacing/>
        <w:jc w:val="center"/>
        <w:rPr>
          <w:rFonts w:ascii="Calibri" w:hAnsi="Calibri" w:cs="Calibri"/>
        </w:rPr>
      </w:pPr>
      <w:r w:rsidRPr="00013757">
        <w:rPr>
          <w:rFonts w:ascii="Calibri" w:hAnsi="Calibri" w:cs="Calibri"/>
          <w:b/>
          <w:bCs/>
        </w:rPr>
        <w:t>K 31.12.20</w:t>
      </w:r>
      <w:r w:rsidR="00374ECD">
        <w:rPr>
          <w:rFonts w:ascii="Calibri" w:hAnsi="Calibri" w:cs="Calibri"/>
          <w:b/>
          <w:bCs/>
        </w:rPr>
        <w:t>2</w:t>
      </w:r>
      <w:r w:rsidR="00BC4D80">
        <w:rPr>
          <w:rFonts w:ascii="Calibri" w:hAnsi="Calibri" w:cs="Calibri"/>
          <w:b/>
          <w:bCs/>
        </w:rPr>
        <w:t>3</w:t>
      </w:r>
    </w:p>
    <w:p w14:paraId="5D4ABF68" w14:textId="77777777" w:rsidR="00013757" w:rsidRDefault="00013757" w:rsidP="00013757">
      <w:pPr>
        <w:spacing w:line="240" w:lineRule="auto"/>
        <w:contextualSpacing/>
        <w:jc w:val="center"/>
        <w:rPr>
          <w:rFonts w:ascii="Calibri" w:hAnsi="Calibri" w:cs="Calibri"/>
          <w:b/>
          <w:bCs/>
        </w:rPr>
      </w:pPr>
    </w:p>
    <w:p w14:paraId="48D33DD4" w14:textId="29AFEE03" w:rsidR="00013757" w:rsidRPr="00013757" w:rsidRDefault="00013757" w:rsidP="00013757">
      <w:pPr>
        <w:spacing w:line="240" w:lineRule="auto"/>
        <w:contextualSpacing/>
        <w:jc w:val="center"/>
        <w:rPr>
          <w:rFonts w:ascii="Calibri" w:hAnsi="Calibri" w:cs="Calibri"/>
        </w:rPr>
      </w:pPr>
      <w:r w:rsidRPr="00013757">
        <w:rPr>
          <w:rFonts w:ascii="Calibri" w:hAnsi="Calibri" w:cs="Calibri"/>
          <w:b/>
          <w:bCs/>
        </w:rPr>
        <w:t>Všeobecné informácie</w:t>
      </w:r>
    </w:p>
    <w:p w14:paraId="55125EC7" w14:textId="77777777" w:rsidR="00013757" w:rsidRDefault="00013757" w:rsidP="00013757">
      <w:pPr>
        <w:spacing w:line="240" w:lineRule="auto"/>
        <w:contextualSpacing/>
        <w:rPr>
          <w:rFonts w:ascii="Calibri" w:hAnsi="Calibri" w:cs="Calibri"/>
          <w:b/>
          <w:bCs/>
        </w:rPr>
      </w:pPr>
    </w:p>
    <w:p w14:paraId="6AF7C8C0" w14:textId="7327B331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  <w:b/>
          <w:bCs/>
        </w:rPr>
        <w:t xml:space="preserve">1. Názov účtovnej jednotky: </w:t>
      </w:r>
    </w:p>
    <w:p w14:paraId="3EDD6CAE" w14:textId="69F95384" w:rsidR="00013757" w:rsidRPr="00013757" w:rsidRDefault="00432BE0" w:rsidP="00013757">
      <w:pPr>
        <w:spacing w:line="240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FINEST RESIDENCE</w:t>
      </w:r>
      <w:r w:rsidR="00013757" w:rsidRPr="00013757">
        <w:rPr>
          <w:rFonts w:ascii="Calibri" w:hAnsi="Calibri" w:cs="Calibri"/>
          <w:b/>
          <w:bCs/>
        </w:rPr>
        <w:t xml:space="preserve">, s.r.o. </w:t>
      </w:r>
    </w:p>
    <w:p w14:paraId="10FABB53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  <w:b/>
          <w:bCs/>
        </w:rPr>
      </w:pPr>
    </w:p>
    <w:p w14:paraId="4F9F1DA9" w14:textId="30FDBAF9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  <w:b/>
          <w:bCs/>
        </w:rPr>
        <w:t xml:space="preserve">2. Sídlo účtovnej jednotky: </w:t>
      </w:r>
    </w:p>
    <w:p w14:paraId="2641BD0E" w14:textId="266F601A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</w:rPr>
        <w:t>Klincová 37/B, 821 08 Bratislava, IČO: 47</w:t>
      </w:r>
      <w:r w:rsidR="0078282A">
        <w:rPr>
          <w:rFonts w:ascii="Calibri" w:hAnsi="Calibri" w:cs="Calibri"/>
        </w:rPr>
        <w:t>613645</w:t>
      </w:r>
      <w:r w:rsidRPr="00013757">
        <w:rPr>
          <w:rFonts w:ascii="Calibri" w:hAnsi="Calibri" w:cs="Calibri"/>
        </w:rPr>
        <w:t xml:space="preserve"> DIČ: 20</w:t>
      </w:r>
      <w:r w:rsidR="0078282A">
        <w:rPr>
          <w:rFonts w:ascii="Calibri" w:hAnsi="Calibri" w:cs="Calibri"/>
        </w:rPr>
        <w:t>24036344</w:t>
      </w:r>
    </w:p>
    <w:p w14:paraId="26D71FF8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  <w:b/>
          <w:bCs/>
        </w:rPr>
      </w:pPr>
    </w:p>
    <w:p w14:paraId="42FE81B3" w14:textId="7DF122F6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  <w:b/>
          <w:bCs/>
        </w:rPr>
        <w:t xml:space="preserve">3. Opis hospodárskej činnosti: </w:t>
      </w:r>
    </w:p>
    <w:p w14:paraId="38C29209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</w:rPr>
        <w:t xml:space="preserve">Poradenské služby v oblasti podnikania a riadenia </w:t>
      </w:r>
    </w:p>
    <w:p w14:paraId="581FACF2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  <w:b/>
          <w:bCs/>
        </w:rPr>
      </w:pPr>
    </w:p>
    <w:p w14:paraId="1B692D3A" w14:textId="25F23673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  <w:b/>
          <w:bCs/>
        </w:rPr>
        <w:t xml:space="preserve">4. Právny dôvod na zostavenie účtovnej závierky: </w:t>
      </w:r>
    </w:p>
    <w:p w14:paraId="2CF8C843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</w:rPr>
        <w:t xml:space="preserve">Spoločnosť predkladá riadnu účtovnú závierku. </w:t>
      </w:r>
    </w:p>
    <w:p w14:paraId="30BB69A9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  <w:b/>
          <w:bCs/>
        </w:rPr>
      </w:pPr>
    </w:p>
    <w:p w14:paraId="5F278309" w14:textId="523AB194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  <w:b/>
          <w:bCs/>
        </w:rPr>
        <w:t xml:space="preserve">5. Účtovná závierka za predchádzajúce obdobie: </w:t>
      </w:r>
    </w:p>
    <w:p w14:paraId="09DAE22A" w14:textId="3AA2EAE5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</w:rPr>
        <w:t>Účtovná závierka za rok 20</w:t>
      </w:r>
      <w:r w:rsidR="00EB5990">
        <w:rPr>
          <w:rFonts w:ascii="Calibri" w:hAnsi="Calibri" w:cs="Calibri"/>
        </w:rPr>
        <w:t>2</w:t>
      </w:r>
      <w:r w:rsidR="00BC4D80">
        <w:rPr>
          <w:rFonts w:ascii="Calibri" w:hAnsi="Calibri" w:cs="Calibri"/>
        </w:rPr>
        <w:t>2</w:t>
      </w:r>
      <w:r w:rsidRPr="00013757">
        <w:rPr>
          <w:rFonts w:ascii="Calibri" w:hAnsi="Calibri" w:cs="Calibri"/>
        </w:rPr>
        <w:t xml:space="preserve"> bola schválená dňa </w:t>
      </w:r>
      <w:r w:rsidR="002E7A71">
        <w:rPr>
          <w:rFonts w:ascii="Calibri" w:hAnsi="Calibri" w:cs="Calibri"/>
        </w:rPr>
        <w:t>1</w:t>
      </w:r>
      <w:r w:rsidR="006571D4">
        <w:rPr>
          <w:rFonts w:ascii="Calibri" w:hAnsi="Calibri" w:cs="Calibri"/>
        </w:rPr>
        <w:t>6</w:t>
      </w:r>
      <w:r w:rsidR="00B2130E">
        <w:rPr>
          <w:rFonts w:ascii="Calibri" w:hAnsi="Calibri" w:cs="Calibri"/>
        </w:rPr>
        <w:t>.06.</w:t>
      </w:r>
      <w:r w:rsidRPr="00013757">
        <w:rPr>
          <w:rFonts w:ascii="Calibri" w:hAnsi="Calibri" w:cs="Calibri"/>
        </w:rPr>
        <w:t>20</w:t>
      </w:r>
      <w:r w:rsidR="00374ECD">
        <w:rPr>
          <w:rFonts w:ascii="Calibri" w:hAnsi="Calibri" w:cs="Calibri"/>
        </w:rPr>
        <w:t>2</w:t>
      </w:r>
      <w:r w:rsidR="00944BF7">
        <w:rPr>
          <w:rFonts w:ascii="Calibri" w:hAnsi="Calibri" w:cs="Calibri"/>
        </w:rPr>
        <w:t>3</w:t>
      </w:r>
      <w:r w:rsidRPr="00013757">
        <w:rPr>
          <w:rFonts w:ascii="Calibri" w:hAnsi="Calibri" w:cs="Calibri"/>
        </w:rPr>
        <w:t xml:space="preserve">. </w:t>
      </w:r>
    </w:p>
    <w:p w14:paraId="56553642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  <w:b/>
          <w:bCs/>
        </w:rPr>
      </w:pPr>
    </w:p>
    <w:p w14:paraId="2D231C55" w14:textId="09ECA3D1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  <w:b/>
          <w:bCs/>
        </w:rPr>
        <w:t xml:space="preserve">6. Priemerný prepočítavací počet zamestnancov účtovnej jednotky: </w:t>
      </w:r>
    </w:p>
    <w:p w14:paraId="3702AFC3" w14:textId="4DA419B6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</w:rPr>
        <w:t xml:space="preserve">0 zamestnanec </w:t>
      </w:r>
    </w:p>
    <w:p w14:paraId="30131388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  <w:b/>
          <w:bCs/>
        </w:rPr>
      </w:pPr>
    </w:p>
    <w:p w14:paraId="4D50A3FD" w14:textId="77777777" w:rsidR="00013757" w:rsidRDefault="00013757" w:rsidP="00013757">
      <w:pPr>
        <w:spacing w:line="240" w:lineRule="auto"/>
        <w:contextualSpacing/>
        <w:jc w:val="center"/>
        <w:rPr>
          <w:rFonts w:ascii="Calibri" w:hAnsi="Calibri" w:cs="Calibri"/>
          <w:b/>
          <w:bCs/>
        </w:rPr>
      </w:pPr>
    </w:p>
    <w:p w14:paraId="7D1D9F3B" w14:textId="179DDC37" w:rsidR="00013757" w:rsidRDefault="00013757" w:rsidP="00013757">
      <w:pPr>
        <w:spacing w:line="240" w:lineRule="auto"/>
        <w:contextualSpacing/>
        <w:jc w:val="center"/>
        <w:rPr>
          <w:rFonts w:ascii="Calibri" w:hAnsi="Calibri" w:cs="Calibri"/>
          <w:b/>
          <w:bCs/>
        </w:rPr>
      </w:pPr>
      <w:r w:rsidRPr="00013757">
        <w:rPr>
          <w:rFonts w:ascii="Calibri" w:hAnsi="Calibri" w:cs="Calibri"/>
          <w:b/>
          <w:bCs/>
        </w:rPr>
        <w:t>Informácie o prijatých postupoch</w:t>
      </w:r>
    </w:p>
    <w:p w14:paraId="1E15DEE2" w14:textId="77777777" w:rsidR="00013757" w:rsidRPr="00013757" w:rsidRDefault="00013757" w:rsidP="00013757">
      <w:pPr>
        <w:spacing w:line="240" w:lineRule="auto"/>
        <w:contextualSpacing/>
        <w:jc w:val="center"/>
        <w:rPr>
          <w:rFonts w:ascii="Calibri" w:hAnsi="Calibri" w:cs="Calibri"/>
        </w:rPr>
      </w:pPr>
    </w:p>
    <w:p w14:paraId="7472A100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  <w:b/>
          <w:bCs/>
        </w:rPr>
        <w:t xml:space="preserve">1. Predpoklad nepretržitého pokračovania v činnosti </w:t>
      </w:r>
    </w:p>
    <w:p w14:paraId="6C9785E4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</w:rPr>
        <w:t xml:space="preserve">Už bola zostavená za predpokladu nepretržitého trvania spoločnosti. </w:t>
      </w:r>
    </w:p>
    <w:p w14:paraId="640C8729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  <w:b/>
          <w:bCs/>
        </w:rPr>
      </w:pPr>
    </w:p>
    <w:p w14:paraId="0BF876A4" w14:textId="641711A3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  <w:b/>
          <w:bCs/>
        </w:rPr>
        <w:t xml:space="preserve">2. Spôsob oceňovania jednotlivých zložiek majetku a záväzkov </w:t>
      </w:r>
    </w:p>
    <w:p w14:paraId="55EC19F7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</w:rPr>
        <w:t xml:space="preserve">Účtovná jednotka oceňovala nakúpený hmotný dlhodobý a nehmotný majetok cenou obstarania a nákladmi súvisiacimi s obstaraním: dopravné prostriedky, montáž, technické zhodnotenie. </w:t>
      </w:r>
    </w:p>
    <w:p w14:paraId="49DF7BFC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  <w:b/>
          <w:bCs/>
        </w:rPr>
      </w:pPr>
    </w:p>
    <w:p w14:paraId="5DACEEE6" w14:textId="4FAA0DC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  <w:b/>
          <w:bCs/>
        </w:rPr>
        <w:t xml:space="preserve">3. Pohľadávky </w:t>
      </w:r>
    </w:p>
    <w:p w14:paraId="4E55C30C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</w:rPr>
        <w:t xml:space="preserve">Pohľadávky sa pri ich vzniku oceňovali nominálnou hodnotou. </w:t>
      </w:r>
    </w:p>
    <w:p w14:paraId="44273739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  <w:b/>
          <w:bCs/>
        </w:rPr>
      </w:pPr>
    </w:p>
    <w:p w14:paraId="4B2886DD" w14:textId="1DA45395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  <w:b/>
          <w:bCs/>
        </w:rPr>
        <w:t xml:space="preserve">4. Oceňovanie </w:t>
      </w:r>
    </w:p>
    <w:p w14:paraId="6CCAAE84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</w:rPr>
        <w:t xml:space="preserve">Finančný majetok sa oceňoval nominálnou hodnotou. </w:t>
      </w:r>
    </w:p>
    <w:p w14:paraId="1C472500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  <w:b/>
          <w:bCs/>
        </w:rPr>
      </w:pPr>
    </w:p>
    <w:p w14:paraId="3695DCD0" w14:textId="2F7E531C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  <w:b/>
          <w:bCs/>
        </w:rPr>
        <w:t xml:space="preserve">5. Oceňovanie časového rozlíšenia na strane aktív súvahy </w:t>
      </w:r>
    </w:p>
    <w:p w14:paraId="2E44EFE8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</w:rPr>
        <w:t xml:space="preserve">Náklady budúcich období boli vykazované v súlade so zabezpečením zásady vecnej a časovej súvislosti s účtovným obdobím </w:t>
      </w:r>
    </w:p>
    <w:p w14:paraId="2B3277AD" w14:textId="77777777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  <w:b/>
          <w:bCs/>
        </w:rPr>
      </w:pPr>
    </w:p>
    <w:p w14:paraId="25B450AE" w14:textId="706343F1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  <w:b/>
          <w:bCs/>
        </w:rPr>
        <w:t xml:space="preserve">6. Záväzky </w:t>
      </w:r>
    </w:p>
    <w:p w14:paraId="4B2F5074" w14:textId="4A25FCE4" w:rsidR="007C58D9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</w:rPr>
        <w:t>Záväzky sa oceňovali pri ich vzniku nominálnou hodnotou. Rezervy sa oceňovali v očakávanej výške záväzkov.</w:t>
      </w:r>
    </w:p>
    <w:p w14:paraId="2E6396E3" w14:textId="3DA0570F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</w:p>
    <w:p w14:paraId="5D80AB93" w14:textId="77777777" w:rsidR="00013757" w:rsidRPr="00013757" w:rsidRDefault="00013757" w:rsidP="00013757">
      <w:pPr>
        <w:pStyle w:val="Default"/>
        <w:contextualSpacing/>
        <w:rPr>
          <w:sz w:val="22"/>
          <w:szCs w:val="22"/>
        </w:rPr>
      </w:pPr>
      <w:r w:rsidRPr="00013757">
        <w:rPr>
          <w:b/>
          <w:bCs/>
          <w:sz w:val="22"/>
          <w:szCs w:val="22"/>
        </w:rPr>
        <w:t xml:space="preserve">7. Oceňovanie časového rozlíšenia na strane pasív súvahy </w:t>
      </w:r>
    </w:p>
    <w:p w14:paraId="4B38B70F" w14:textId="2C431740" w:rsidR="00013757" w:rsidRPr="00013757" w:rsidRDefault="00013757" w:rsidP="00013757">
      <w:pPr>
        <w:spacing w:line="240" w:lineRule="auto"/>
        <w:contextualSpacing/>
        <w:rPr>
          <w:rFonts w:ascii="Calibri" w:hAnsi="Calibri" w:cs="Calibri"/>
        </w:rPr>
      </w:pPr>
      <w:r w:rsidRPr="00013757">
        <w:rPr>
          <w:rFonts w:ascii="Calibri" w:hAnsi="Calibri" w:cs="Calibri"/>
        </w:rPr>
        <w:t>Výnosy budúcich období boli vykazované vo výške, ktorá je v súlade so zabezpečením vecnej a časovej súvislosti s účtovným obdobím.</w:t>
      </w:r>
    </w:p>
    <w:sectPr w:rsidR="00013757" w:rsidRPr="000137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757"/>
    <w:rsid w:val="00013757"/>
    <w:rsid w:val="000F4FFC"/>
    <w:rsid w:val="002A2A8A"/>
    <w:rsid w:val="002E7A71"/>
    <w:rsid w:val="00374ECD"/>
    <w:rsid w:val="00432BE0"/>
    <w:rsid w:val="005058A2"/>
    <w:rsid w:val="006144ED"/>
    <w:rsid w:val="006571D4"/>
    <w:rsid w:val="0078282A"/>
    <w:rsid w:val="007C58D9"/>
    <w:rsid w:val="00944BF7"/>
    <w:rsid w:val="0095630A"/>
    <w:rsid w:val="00B2130E"/>
    <w:rsid w:val="00BC4D80"/>
    <w:rsid w:val="00EB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E57DF"/>
  <w15:chartTrackingRefBased/>
  <w15:docId w15:val="{A55EB6C5-AF0D-48F8-BEAD-F37830CA7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1375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Marišová</dc:creator>
  <cp:keywords/>
  <dc:description/>
  <cp:lastModifiedBy>Katarína Marišová</cp:lastModifiedBy>
  <cp:revision>15</cp:revision>
  <dcterms:created xsi:type="dcterms:W3CDTF">2021-03-30T21:35:00Z</dcterms:created>
  <dcterms:modified xsi:type="dcterms:W3CDTF">2024-03-28T10:50:00Z</dcterms:modified>
</cp:coreProperties>
</file>