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 xml:space="preserve">I.1 </w:t>
        <w:tab/>
        <w:t xml:space="preserve">Obchodné meno účtovnej jednotky: Poľnohospodárske družstvo Vyšná Slaná </w:t>
      </w:r>
    </w:p>
    <w:p>
      <w:pPr>
        <w:pStyle w:val="ListParagraph"/>
        <w:spacing w:lineRule="auto" w:line="24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Sídlo účtovnej jednotky:049 26 Vyšná Slaná 156</w:t>
      </w:r>
    </w:p>
    <w:p>
      <w:pPr>
        <w:pStyle w:val="ListParagraph"/>
        <w:spacing w:lineRule="auto" w:line="24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Opis hospodárskej činnosti účtovnej jednotky:chov ostatného dobytka a byvolov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tabs>
          <w:tab w:val="left" w:pos="53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sz w:val="18"/>
          <w:szCs w:val="18"/>
        </w:rPr>
        <w:tab/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sz w:val="18"/>
          <w:szCs w:val="18"/>
        </w:rPr>
        <w:t>I.2</w:t>
        <w:tab/>
        <w:t>Dátum schválenia účtovnej závierky za bezprostredne predchádzajúce účtovné obdobie: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17.6.2023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sz w:val="18"/>
          <w:szCs w:val="18"/>
        </w:rPr>
        <w:t>I.3</w:t>
        <w:tab/>
        <w:t>Právny dôvod na zostavenie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tabs>
          <w:tab w:val="left" w:pos="1604" w:leader="none"/>
          <w:tab w:val="left" w:pos="2815" w:leader="none"/>
        </w:tabs>
        <w:spacing w:lineRule="auto" w:line="240"/>
        <w:ind w:left="0" w:hanging="0"/>
        <w:jc w:val="both"/>
        <w:rPr>
          <w:sz w:val="18"/>
          <w:szCs w:val="18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>Dôvod na zostavenie mimoriadnej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/>
        <w:ind w:left="0" w:hanging="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rozdelenie</w:t>
        <w:tab/>
        <w:t xml:space="preserve"> 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ab/>
        <w:t xml:space="preserve">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>
      <w:pPr>
        <w:pStyle w:val="ListParagraph"/>
        <w:tabs>
          <w:tab w:val="left" w:pos="1429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začiatok likvidácie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sz w:val="18"/>
          <w:szCs w:val="18"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18"/>
          <w:szCs w:val="18"/>
        </w:rPr>
        <w:t>I.4 a)</w:t>
      </w:r>
      <w:r>
        <w:rPr>
          <w:rFonts w:cs="Times New Roman" w:ascii="Times New Roman" w:hAnsi="Times New Roman"/>
          <w:sz w:val="18"/>
          <w:szCs w:val="18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5430" cy="1143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95pt,15.6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18"/>
          <w:szCs w:val="18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18"/>
          <w:szCs w:val="18"/>
        </w:rPr>
        <w:t>I.4 b)</w:t>
      </w:r>
      <w:r>
        <w:rPr>
          <w:rFonts w:cs="Times New Roman" w:ascii="Times New Roman" w:hAnsi="Times New Roman"/>
          <w:sz w:val="18"/>
          <w:szCs w:val="18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 wp14:anchorId="7EFA6952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5430" cy="11430"/>
                <wp:effectExtent l="0" t="0" r="28575" b="28575"/>
                <wp:wrapNone/>
                <wp:docPr id="2" name="Rovná spojnic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95pt,15.6pt" ID="Rovná spojnica 2" stroked="t" style="position:absolute" wp14:anchorId="7EFA695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18"/>
          <w:szCs w:val="18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mc:AlternateContent>
          <mc:Choice Requires="wps">
            <w:drawing>
              <wp:anchor behindDoc="0" distT="0" distB="0" distL="114300" distR="114300" simplePos="0" locked="0" layoutInCell="1" allowOverlap="1" relativeHeight="7" wp14:anchorId="3737DB03">
                <wp:simplePos x="0" y="0"/>
                <wp:positionH relativeFrom="column">
                  <wp:posOffset>429260</wp:posOffset>
                </wp:positionH>
                <wp:positionV relativeFrom="paragraph">
                  <wp:posOffset>187325</wp:posOffset>
                </wp:positionV>
                <wp:extent cx="5345430" cy="11430"/>
                <wp:effectExtent l="0" t="0" r="28575" b="28575"/>
                <wp:wrapNone/>
                <wp:docPr id="3" name="Rovná spojnic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8pt,14.4pt" to="454.6pt,15.1pt" ID="Rovná spojnica 3" stroked="t" style="position:absolute" wp14:anchorId="3737DB03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18"/>
          <w:szCs w:val="18"/>
        </w:rPr>
        <w:t>I.4 c)</w:t>
      </w:r>
      <w:r>
        <w:rPr>
          <w:rFonts w:cs="Times New Roman" w:ascii="Times New Roman" w:hAnsi="Times New Roman"/>
          <w:sz w:val="18"/>
          <w:szCs w:val="18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 wp14:anchorId="5D8A6EA1">
                <wp:simplePos x="0" y="0"/>
                <wp:positionH relativeFrom="column">
                  <wp:posOffset>433705</wp:posOffset>
                </wp:positionH>
                <wp:positionV relativeFrom="paragraph">
                  <wp:posOffset>193675</wp:posOffset>
                </wp:positionV>
                <wp:extent cx="5345430" cy="11430"/>
                <wp:effectExtent l="0" t="0" r="28575" b="28575"/>
                <wp:wrapNone/>
                <wp:docPr id="4" name="Rovná spojnic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9pt" to="454.95pt,15.6pt" ID="Rovná spojnica 6" stroked="t" style="position:absolute" wp14:anchorId="5D8A6EA1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18"/>
          <w:szCs w:val="18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18"/>
          <w:szCs w:val="18"/>
        </w:rPr>
        <w:t>I.4 d)</w:t>
      </w:r>
      <w:r>
        <w:rPr>
          <w:rFonts w:cs="Times New Roman" w:ascii="Times New Roman" w:hAnsi="Times New Roman"/>
          <w:sz w:val="18"/>
          <w:szCs w:val="18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18"/>
          <w:szCs w:val="18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175895</wp:posOffset>
                </wp:positionV>
                <wp:extent cx="5345430" cy="11430"/>
                <wp:effectExtent l="0" t="0" r="28575" b="28575"/>
                <wp:wrapNone/>
                <wp:docPr id="5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3.5pt" to="455.3pt,14.2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18"/>
          <w:szCs w:val="18"/>
        </w:rPr>
        <w:t xml:space="preserve">                  </w:t>
      </w:r>
    </w:p>
    <w:p>
      <w:pPr>
        <w:pStyle w:val="Normal"/>
        <w:spacing w:lineRule="auto" w:line="240"/>
        <w:ind w:left="709" w:hanging="709"/>
        <w:jc w:val="both"/>
        <w:rPr>
          <w:rFonts w:ascii="MS Gothic" w:hAnsi="MS Gothic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MS Gothic" w:hAnsi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709" w:hanging="709"/>
        <w:jc w:val="both"/>
        <w:rPr>
          <w:rFonts w:ascii="MS Gothic" w:hAnsi="MS Gothic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MS Gothic" w:hAnsi="MS Gothic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18"/>
          <w:szCs w:val="18"/>
        </w:rPr>
        <w:tab/>
      </w:r>
      <w:r>
        <w:rPr>
          <w:rFonts w:cs="Times New Roman" w:ascii="Times New Roman" w:hAnsi="Times New Roman"/>
          <w:sz w:val="18"/>
          <w:szCs w:val="18"/>
        </w:rPr>
        <w:t>V zmysle § 22 ods. 10 a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333" w:type="dxa"/>
        <w:jc w:val="left"/>
        <w:tblInd w:w="62" w:type="dxa"/>
        <w:tblCellMar>
          <w:top w:w="0" w:type="dxa"/>
          <w:left w:w="3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4228"/>
      </w:tblGrid>
      <w:tr>
        <w:trPr/>
        <w:tc>
          <w:tcPr>
            <w:tcW w:w="5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Obchodné meno dcérskej spoločnosti</w:t>
            </w:r>
          </w:p>
        </w:tc>
        <w:tc>
          <w:tcPr>
            <w:tcW w:w="422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228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228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22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sz w:val="18"/>
          <w:szCs w:val="18"/>
        </w:rPr>
        <w:t xml:space="preserve">I.5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324" w:type="dxa"/>
        <w:jc w:val="left"/>
        <w:tblInd w:w="62" w:type="dxa"/>
        <w:tblCellMar>
          <w:top w:w="0" w:type="dxa"/>
          <w:left w:w="39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4"/>
        <w:gridCol w:w="2412"/>
        <w:gridCol w:w="2788"/>
      </w:tblGrid>
      <w:tr>
        <w:trPr/>
        <w:tc>
          <w:tcPr>
            <w:tcW w:w="41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1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Priemerný prepočítaný počet zamestnancov počas účtovného obdobia</w:t>
            </w:r>
          </w:p>
        </w:tc>
        <w:tc>
          <w:tcPr>
            <w:tcW w:w="241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6,8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78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8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  <w:sz w:val="18"/>
          <w:szCs w:val="18"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  <w:sz w:val="18"/>
          <w:szCs w:val="18"/>
        </w:rPr>
        <w:t>II.</w:t>
        <w:tab/>
        <w:t>Informácie o orgánoch účtovnej jednotky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a) - d)      ÚJ nemá náplň pre danú položku</w:t>
      </w:r>
    </w:p>
    <w:tbl>
      <w:tblPr>
        <w:tblW w:w="9235" w:type="dxa"/>
        <w:jc w:val="left"/>
        <w:tblInd w:w="-67" w:type="dxa"/>
        <w:tblBorders>
          <w:top w:val="single" w:sz="18" w:space="0" w:color="00000A"/>
          <w:left w:val="single" w:sz="18" w:space="0" w:color="00000A"/>
          <w:bottom w:val="single" w:sz="12" w:space="0" w:color="000001"/>
          <w:right w:val="single" w:sz="12" w:space="0" w:color="00000A"/>
          <w:insideH w:val="single" w:sz="12" w:space="0" w:color="000001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692"/>
        <w:gridCol w:w="1416"/>
        <w:gridCol w:w="1134"/>
        <w:gridCol w:w="709"/>
        <w:gridCol w:w="1"/>
        <w:gridCol w:w="1416"/>
        <w:gridCol w:w="1134"/>
        <w:gridCol w:w="732"/>
      </w:tblGrid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 príjmu, výhody súčasných členov orgánov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 príjmu, výhody bývalých členov orgánov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iného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dozorného</w:t>
            </w:r>
          </w:p>
        </w:tc>
        <w:tc>
          <w:tcPr>
            <w:tcW w:w="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iného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Časť 1 - BO</w:t>
            </w:r>
          </w:p>
        </w:tc>
        <w:tc>
          <w:tcPr>
            <w:tcW w:w="3282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Časť 1 - BO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Časť 2 - PO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Časť 2 - PO</w:t>
            </w:r>
          </w:p>
        </w:tc>
      </w:tr>
      <w:tr>
        <w:trPr>
          <w:trHeight w:val="315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Iné plnenia na súkromné účely, ktoré je potrebné vyúčtovať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3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5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142" w:hanging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Ďalšie dôležité informácie o príjmoch a výhodách členov štatutárnych orgánov, dozorných orgánov a iného orgánu účtovnej jednotky</w:t>
      </w:r>
      <w:r>
        <w:rPr>
          <w:rFonts w:cs="Times New Roman" w:ascii="Times New Roman" w:hAnsi="Times New Roman"/>
          <w:sz w:val="18"/>
          <w:szCs w:val="18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  <w:sz w:val="18"/>
          <w:szCs w:val="18"/>
        </w:rPr>
        <w:t>Čl. III</w:t>
        <w:tab/>
        <w:t>Informácie o prijatých postupoch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III. 2</w:t>
        <w:tab/>
        <w:t>Zmeny účtovných zásad a metód:</w:t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Účtovné metódy a zásady boli aplikované v rámci platného ZoÚ, s osobitosťami: neboli žiadne zmeny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04"/>
        <w:gridCol w:w="2835"/>
        <w:gridCol w:w="3402"/>
      </w:tblGrid>
      <w:tr>
        <w:trPr>
          <w:trHeight w:val="132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 súvahe -UJ nemá náplň </w:t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položku   ÚJ nemá náplň pre danú položku</w:t>
      </w:r>
    </w:p>
    <w:tbl>
      <w:tblPr>
        <w:tblW w:w="9356" w:type="dxa"/>
        <w:jc w:val="left"/>
        <w:tblInd w:w="-67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10"/>
        <w:gridCol w:w="2410"/>
        <w:gridCol w:w="1984"/>
        <w:gridCol w:w="2551"/>
      </w:tblGrid>
      <w:tr>
        <w:trPr>
          <w:trHeight w:val="900" w:hRule="atLeast"/>
        </w:trPr>
        <w:tc>
          <w:tcPr>
            <w:tcW w:w="24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Riziká transakcie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Prínosy transakcie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8" w:space="0" w:color="000001"/>
              <w:insideH w:val="single" w:sz="18" w:space="0" w:color="00000A"/>
              <w:insideV w:val="single" w:sz="8" w:space="0" w:color="000001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obstarávacia cena 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podľa skutoč.vlast.nákladov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Zákazková výstavba nehnuteľnosti urče-nej na predaj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fak.cena menovitá hodnota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Časové rozlíšenie na strane aktív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 xml:space="preserve">menovitá hodnota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Časové rozlíšenie na strane pasív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Majetok obstaraný zmluvou o kúpe prenajatej veci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430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Splatná daň z príjmov a odložená daň z príjmov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920"/>
        <w:gridCol w:w="3402"/>
      </w:tblGrid>
      <w:tr>
        <w:trPr>
          <w:trHeight w:val="735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 xml:space="preserve">Pohľadávky Agropa Nitra 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10 393,37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 xml:space="preserve">Pohľadávky PD Rejdová 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16 929,99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16 930,00</w:t>
            </w:r>
          </w:p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 ÚJ nemá náplň pre danú položku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4535"/>
      </w:tblGrid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finančných nástrojov alebo majetku, ktorý nie je finančným nástrojom pri oceňovaní reálnou hodnotou ÚJ nemá náplň pre danú položku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7"/>
        <w:gridCol w:w="2848"/>
        <w:gridCol w:w="1417"/>
        <w:gridCol w:w="1559"/>
        <w:gridCol w:w="1560"/>
      </w:tblGrid>
      <w:tr>
        <w:trPr>
          <w:trHeight w:val="1870" w:hRule="atLeast"/>
        </w:trPr>
        <w:tc>
          <w:tcPr>
            <w:tcW w:w="195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1957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8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8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240" w:after="16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e)</w:t>
        <w:tab/>
        <w:t>Ocenenie finančných nástrojov pri oceňovaní obstarávacou cenou alebo vlastnými nákladmi ÚJ nemá náplň pre danú položku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7"/>
        <w:gridCol w:w="1572"/>
        <w:gridCol w:w="1701"/>
        <w:gridCol w:w="1835"/>
        <w:gridCol w:w="2276"/>
      </w:tblGrid>
      <w:tr>
        <w:trPr>
          <w:trHeight w:val="569" w:hRule="atLeast"/>
        </w:trPr>
        <w:tc>
          <w:tcPr>
            <w:tcW w:w="1957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FM</w:t>
            </w:r>
          </w:p>
        </w:tc>
        <w:tc>
          <w:tcPr>
            <w:tcW w:w="1572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Dôvod pre nezníženie účtovnej hodnoty</w:t>
            </w:r>
          </w:p>
        </w:tc>
      </w:tr>
      <w:tr>
        <w:trPr>
          <w:trHeight w:val="285" w:hRule="atLeast"/>
        </w:trPr>
        <w:tc>
          <w:tcPr>
            <w:tcW w:w="195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56" w:type="dxa"/>
        <w:jc w:val="left"/>
        <w:tblInd w:w="-25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264"/>
        <w:gridCol w:w="1986"/>
        <w:gridCol w:w="2266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Budovy 021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pravidelná 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Stroje a samostatné hnut.veci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5 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pravidelná 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Zvieratá  026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pravidelná 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Stavby 021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50     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   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pravidelná 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ind w:right="-284" w:hanging="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5" wp14:anchorId="4DB94A46">
                <wp:simplePos x="0" y="0"/>
                <wp:positionH relativeFrom="column">
                  <wp:posOffset>428625</wp:posOffset>
                </wp:positionH>
                <wp:positionV relativeFrom="paragraph">
                  <wp:posOffset>240665</wp:posOffset>
                </wp:positionV>
                <wp:extent cx="5345430" cy="11430"/>
                <wp:effectExtent l="0" t="0" r="28575" b="28575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8.6pt" to="454.55pt,19.3pt" ID="Rovná spojnica 11" stroked="t" style="position:absolute" wp14:anchorId="4DB94A46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4" wp14:anchorId="2DDDD9CA">
                <wp:simplePos x="0" y="0"/>
                <wp:positionH relativeFrom="column">
                  <wp:posOffset>428625</wp:posOffset>
                </wp:positionH>
                <wp:positionV relativeFrom="paragraph">
                  <wp:posOffset>29210</wp:posOffset>
                </wp:positionV>
                <wp:extent cx="5345430" cy="11430"/>
                <wp:effectExtent l="0" t="0" r="28575" b="28575"/>
                <wp:wrapNone/>
                <wp:docPr id="7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92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.95pt" to="454.55pt,2.65pt" ID="Rovná spojnica 10" stroked="t" style="position:absolute" wp14:anchorId="2DDDD9CA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ind w:left="709" w:hanging="709"/>
        <w:jc w:val="both"/>
        <w:rPr>
          <w:sz w:val="18"/>
          <w:szCs w:val="18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predpisom, v ktorom vychádzal z predpokladaného opotrebenia zaraďovaného majetku zodpovedajúceho bežným podmienkam jeho používania. Odpisové sadzby pre účtovné a daňové odpisy podnikateľa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18"/>
              <w:szCs w:val="18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odlišuje od daňového podľa počtu mesiacov od zaradenia do konca roka.</w:t>
      </w:r>
    </w:p>
    <w:p>
      <w:pPr>
        <w:pStyle w:val="Normal"/>
        <w:spacing w:lineRule="auto" w:line="240" w:before="240" w:after="160"/>
        <w:ind w:left="992" w:hanging="992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h)</w:t>
        <w:tab/>
        <w:t>Dotácie poskytnuté na obstaranie majetku:</w:t>
      </w:r>
      <w:bookmarkStart w:id="0" w:name="__DdeLink__3645_2089123370"/>
      <w:bookmarkEnd w:id="0"/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nemá náplň pre danú položku </w:t>
      </w:r>
    </w:p>
    <w:tbl>
      <w:tblPr>
        <w:tblStyle w:val="Mriekatabuky"/>
        <w:tblW w:w="9341" w:type="dxa"/>
        <w:jc w:val="left"/>
        <w:tblInd w:w="-10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3"/>
        <w:gridCol w:w="3351"/>
        <w:gridCol w:w="2977"/>
      </w:tblGrid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Výška dotácie</w:t>
            </w:r>
          </w:p>
        </w:tc>
      </w:tr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355" w:hRule="atLeast"/>
        </w:trPr>
        <w:tc>
          <w:tcPr>
            <w:tcW w:w="3013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335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</w:tr>
      <w:tr>
        <w:trPr>
          <w:trHeight w:val="275" w:hRule="atLeast"/>
        </w:trPr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>Oprava významných a nevýznamných chýb minulých účtovných období vykonaných</w:t>
        <w:br/>
        <w:t xml:space="preserve">v bežnom účtovnom období:ÚJ nemá náplň pre danú položku </w:t>
      </w:r>
    </w:p>
    <w:tbl>
      <w:tblPr>
        <w:tblStyle w:val="Mriekatabuky"/>
        <w:tblW w:w="9341" w:type="dxa"/>
        <w:jc w:val="left"/>
        <w:tblInd w:w="-10" w:type="dxa"/>
        <w:tblCellMar>
          <w:top w:w="0" w:type="dxa"/>
          <w:left w:w="5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4"/>
        <w:gridCol w:w="2921"/>
        <w:gridCol w:w="3316"/>
      </w:tblGrid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6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 w:val="18"/>
          <w:szCs w:val="18"/>
        </w:rPr>
        <w:t>Čl. IV</w:t>
        <w:tab/>
        <w:t>Informácie, ktoré vysvetľujú a dopĺňajú súvahu a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  <w:tab/>
        <w:t xml:space="preserve">Charakteristika Goodwilu:ÚJ nemá náplň pre danú položku 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069"/>
        <w:gridCol w:w="1701"/>
        <w:gridCol w:w="2551"/>
      </w:tblGrid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Charakteristika goodwillu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Spôsob výpočtu hodnoty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  <w:tab/>
        <w:t xml:space="preserve">Informácie o významných položkách derivátov za bežné účtovné obdobie:ÚJ nemá náplň pre danú položku 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576"/>
        <w:gridCol w:w="497"/>
        <w:gridCol w:w="1137"/>
        <w:gridCol w:w="347"/>
        <w:gridCol w:w="3"/>
        <w:gridCol w:w="705"/>
        <w:gridCol w:w="570"/>
        <w:gridCol w:w="1"/>
        <w:gridCol w:w="527"/>
        <w:gridCol w:w="181"/>
        <w:gridCol w:w="3"/>
        <w:gridCol w:w="752"/>
        <w:gridCol w:w="160"/>
        <w:gridCol w:w="361"/>
        <w:gridCol w:w="495"/>
        <w:gridCol w:w="977"/>
        <w:gridCol w:w="159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Tabuľka č. 1</w:t>
            </w:r>
          </w:p>
        </w:tc>
        <w:tc>
          <w:tcPr>
            <w:tcW w:w="5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63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34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06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771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971" w:type="dxa"/>
            <w:gridSpan w:val="10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2904" w:type="dxa"/>
            <w:gridSpan w:val="6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Dohodnutá cena podkladového nástroja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1987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záväzku</w:t>
            </w:r>
          </w:p>
        </w:tc>
        <w:tc>
          <w:tcPr>
            <w:tcW w:w="2904" w:type="dxa"/>
            <w:gridSpan w:val="6"/>
            <w:vMerge w:val="continue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984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987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904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>
        <w:trPr>
          <w:trHeight w:val="556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7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4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24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Tabuľka č. 2 </w:t>
            </w:r>
            <w:r>
              <w:rPr>
                <w:rFonts w:eastAsia="MS Gothic" w:cs="Times New Roman" w:ascii="Times New Roman" w:hAnsi="Times New Roman"/>
                <w:b/>
                <w:color w:val="000000"/>
                <w:sz w:val="18"/>
                <w:szCs w:val="18"/>
                <w:lang w:eastAsia="sk-SK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ÚJ nemá náplň pre danú položku </w:t>
            </w:r>
          </w:p>
        </w:tc>
        <w:tc>
          <w:tcPr>
            <w:tcW w:w="49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13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55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5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464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33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600" w:hRule="atLeast"/>
        </w:trPr>
        <w:tc>
          <w:tcPr>
            <w:tcW w:w="2552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260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615" w:type="dxa"/>
            <w:gridSpan w:val="9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690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3260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Zmena reálnej hodnoty (+/-) </w:t>
              <w:br/>
              <w:t>s vplyvom na</w:t>
            </w:r>
          </w:p>
        </w:tc>
        <w:tc>
          <w:tcPr>
            <w:tcW w:w="3615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Zmena reálnej hodnoty (+/-) </w:t>
              <w:br/>
              <w:t>s vplyvom na</w:t>
            </w:r>
          </w:p>
        </w:tc>
      </w:tr>
      <w:tr>
        <w:trPr>
          <w:trHeight w:val="372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výsledok hospodárenia</w:t>
            </w:r>
          </w:p>
        </w:tc>
        <w:tc>
          <w:tcPr>
            <w:tcW w:w="162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výsledok hospodárenia</w:t>
            </w:r>
          </w:p>
        </w:tc>
        <w:tc>
          <w:tcPr>
            <w:tcW w:w="163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26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984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31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</w:tr>
      <w:tr>
        <w:trPr>
          <w:trHeight w:val="57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Deriváty určené na obchodovanie, z toho: 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Zabezpečovacie deriváty, z toho: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6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1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428" w:type="dxa"/>
        <w:jc w:val="left"/>
        <w:tblInd w:w="0" w:type="dxa"/>
        <w:tblBorders>
          <w:bottom w:val="single" w:sz="18" w:space="0" w:color="00000A"/>
          <w:insideH w:val="single" w:sz="18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1073"/>
        <w:gridCol w:w="1137"/>
        <w:gridCol w:w="1055"/>
        <w:gridCol w:w="1096"/>
        <w:gridCol w:w="323"/>
        <w:gridCol w:w="2"/>
        <w:gridCol w:w="1628"/>
        <w:gridCol w:w="976"/>
        <w:gridCol w:w="161"/>
      </w:tblGrid>
      <w:tr>
        <w:trPr>
          <w:trHeight w:val="330" w:hRule="atLeast"/>
        </w:trPr>
        <w:tc>
          <w:tcPr>
            <w:tcW w:w="1976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Tabuľka č. 3 </w:t>
            </w:r>
            <w:r>
              <w:rPr>
                <w:rFonts w:eastAsia="MS Gothic" w:cs="Times New Roman" w:ascii="Times New Roman" w:hAnsi="Times New Roman"/>
                <w:b/>
                <w:color w:val="000000"/>
                <w:sz w:val="18"/>
                <w:szCs w:val="18"/>
                <w:lang w:eastAsia="sk-SK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ÚJ nemá náplň pre danú položku </w:t>
            </w:r>
          </w:p>
        </w:tc>
        <w:tc>
          <w:tcPr>
            <w:tcW w:w="107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137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5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96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32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30" w:type="dxa"/>
            <w:gridSpan w:val="2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976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1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Zabezpečovaná položka</w:t>
            </w:r>
          </w:p>
        </w:tc>
        <w:tc>
          <w:tcPr>
            <w:tcW w:w="5241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Reálna hodnota</w:t>
            </w:r>
          </w:p>
        </w:tc>
      </w:tr>
      <w:tr>
        <w:trPr>
          <w:trHeight w:val="266" w:hRule="atLeast"/>
        </w:trPr>
        <w:tc>
          <w:tcPr>
            <w:tcW w:w="4186" w:type="dxa"/>
            <w:gridSpan w:val="3"/>
            <w:vMerge w:val="continue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247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BO</w:t>
            </w:r>
          </w:p>
        </w:tc>
        <w:tc>
          <w:tcPr>
            <w:tcW w:w="27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476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Majetok vykázaný v súvahe</w:t>
            </w:r>
          </w:p>
        </w:tc>
        <w:tc>
          <w:tcPr>
            <w:tcW w:w="2476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Záväzok vykázaný v súvahe</w:t>
            </w:r>
          </w:p>
        </w:tc>
        <w:tc>
          <w:tcPr>
            <w:tcW w:w="2476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448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Zmluvy, ktoré sa neúčtujú na súvahových účtoch</w:t>
            </w:r>
          </w:p>
        </w:tc>
        <w:tc>
          <w:tcPr>
            <w:tcW w:w="2476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484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Očakávané budúce obchody dosiaľ zmluvne nezabezpečené</w:t>
            </w:r>
          </w:p>
        </w:tc>
        <w:tc>
          <w:tcPr>
            <w:tcW w:w="2476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476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-284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>
      <w:pPr>
        <w:pStyle w:val="Normal"/>
        <w:spacing w:lineRule="auto" w:line="240"/>
        <w:ind w:right="-284" w:hanging="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-284" w:hanging="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-284" w:hanging="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-284" w:hanging="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-284" w:hanging="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  <w:tab/>
        <w:t xml:space="preserve">Informácie o záväzkoch 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45"/>
        <w:gridCol w:w="2977"/>
        <w:gridCol w:w="3119"/>
      </w:tblGrid>
      <w:tr>
        <w:trPr>
          <w:trHeight w:val="33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153017 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158654 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  <w:tab/>
        <w:t xml:space="preserve">Hodnota záväzkov zabezpečená záložným právom ÚJ nemá náplň pre danú položku </w:t>
      </w:r>
    </w:p>
    <w:tbl>
      <w:tblPr>
        <w:tblW w:w="9341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2409"/>
        <w:gridCol w:w="2127"/>
      </w:tblGrid>
      <w:tr>
        <w:trPr>
          <w:trHeight w:val="330" w:hRule="atLeast"/>
        </w:trPr>
        <w:tc>
          <w:tcPr>
            <w:tcW w:w="4805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 záväzku zabezpečená</w:t>
            </w:r>
          </w:p>
        </w:tc>
      </w:tr>
      <w:tr>
        <w:trPr>
          <w:trHeight w:val="458" w:hRule="atLeast"/>
        </w:trPr>
        <w:tc>
          <w:tcPr>
            <w:tcW w:w="4805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Záložným právom</w:t>
            </w:r>
          </w:p>
        </w:tc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Inou formou zabezp.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-284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zabezpečených záložným právom alebo inou formou zabezpeče-nia: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  <w:tab/>
        <w:t xml:space="preserve">Informácie o vlastných akciách   ÚJ nemá náplň pre danú položku 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- c)</w:t>
        <w:tab/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19"/>
        <w:gridCol w:w="1568"/>
        <w:gridCol w:w="1985"/>
        <w:gridCol w:w="2126"/>
        <w:gridCol w:w="1843"/>
      </w:tblGrid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Dôvod nadobudnutia vlastných akcií počas účtovného obdobia</w:t>
            </w:r>
          </w:p>
        </w:tc>
        <w:tc>
          <w:tcPr>
            <w:tcW w:w="7522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>
        <w:trPr>
          <w:trHeight w:val="855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Počet akcií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Podiel na ZI v %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Menovitá hodnota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Hodnota nadobudnutia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Hodnota nadobudnutia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  <w:tab/>
        <w:t xml:space="preserve">Informácie o vytvorení kapitálového fondu z príspevkov podľa § 123 ods. 2 a 217a Obchodného zákonníka v znení neskorších predpisov ÚJ nemá náplň pre danú položku </w:t>
      </w:r>
    </w:p>
    <w:tbl>
      <w:tblPr>
        <w:tblStyle w:val="Mriekatabuky"/>
        <w:tblW w:w="9333" w:type="dxa"/>
        <w:jc w:val="left"/>
        <w:tblInd w:w="-10" w:type="dxa"/>
        <w:tblCellMar>
          <w:top w:w="0" w:type="dxa"/>
          <w:left w:w="4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6"/>
        <w:gridCol w:w="2472"/>
        <w:gridCol w:w="2505"/>
      </w:tblGrid>
      <w:tr>
        <w:trPr/>
        <w:tc>
          <w:tcPr>
            <w:tcW w:w="4356" w:type="dxa"/>
            <w:vMerge w:val="restart"/>
            <w:tcBorders>
              <w:top w:val="single" w:sz="18" w:space="0" w:color="00000A"/>
              <w:left w:val="single" w:sz="18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977" w:type="dxa"/>
            <w:gridSpan w:val="2"/>
            <w:tcBorders>
              <w:top w:val="single" w:sz="18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  <w:br/>
              <w:t xml:space="preserve"> do kapitálového fondu</w:t>
            </w:r>
          </w:p>
        </w:tc>
      </w:tr>
      <w:tr>
        <w:trPr/>
        <w:tc>
          <w:tcPr>
            <w:tcW w:w="4356" w:type="dxa"/>
            <w:vMerge w:val="continue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72" w:type="dxa"/>
            <w:tcBorders>
              <w:top w:val="single" w:sz="18" w:space="0" w:color="00000A"/>
              <w:bottom w:val="single" w:sz="18" w:space="0" w:color="00000A"/>
              <w:insideH w:val="single" w:sz="1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5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>
        <w:trPr>
          <w:trHeight w:val="329" w:hRule="atLeast"/>
        </w:trPr>
        <w:tc>
          <w:tcPr>
            <w:tcW w:w="4356" w:type="dxa"/>
            <w:tcBorders>
              <w:top w:val="single" w:sz="18" w:space="0" w:color="00000A"/>
              <w:left w:val="single" w:sz="18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72" w:type="dxa"/>
            <w:tcBorders>
              <w:top w:val="single" w:sz="1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05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329" w:hRule="atLeast"/>
        </w:trPr>
        <w:tc>
          <w:tcPr>
            <w:tcW w:w="4356" w:type="dxa"/>
            <w:tcBorders>
              <w:left w:val="single" w:sz="18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7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05" w:type="dxa"/>
            <w:tcBorders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329" w:hRule="atLeast"/>
        </w:trPr>
        <w:tc>
          <w:tcPr>
            <w:tcW w:w="4356" w:type="dxa"/>
            <w:tcBorders>
              <w:left w:val="single" w:sz="18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7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05" w:type="dxa"/>
            <w:tcBorders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329" w:hRule="atLeast"/>
        </w:trPr>
        <w:tc>
          <w:tcPr>
            <w:tcW w:w="4356" w:type="dxa"/>
            <w:tcBorders>
              <w:left w:val="single" w:sz="18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72" w:type="dxa"/>
            <w:tcBorders/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05" w:type="dxa"/>
            <w:tcBorders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329" w:hRule="atLeast"/>
        </w:trPr>
        <w:tc>
          <w:tcPr>
            <w:tcW w:w="43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72" w:type="dxa"/>
            <w:tcBorders>
              <w:top w:val="single" w:sz="18" w:space="0" w:color="00000A"/>
              <w:bottom w:val="single" w:sz="18" w:space="0" w:color="00000A"/>
              <w:insideH w:val="single" w:sz="1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MS Gothic" w:cs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color w:val="2F75BB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6</w:t>
        <w:tab/>
        <w:t xml:space="preserve">Informácie o výnosoch a nákladoch, ktoré majú výnimočný rozsah alebo výskyt ÚJ nemá náplň pre danú položku 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5"/>
        <w:gridCol w:w="1074"/>
        <w:gridCol w:w="494"/>
        <w:gridCol w:w="1698"/>
        <w:gridCol w:w="996"/>
        <w:gridCol w:w="102"/>
        <w:gridCol w:w="160"/>
        <w:gridCol w:w="1792"/>
        <w:gridCol w:w="977"/>
        <w:gridCol w:w="159"/>
      </w:tblGrid>
      <w:tr>
        <w:trPr>
          <w:trHeight w:val="330" w:hRule="atLeast"/>
        </w:trPr>
        <w:tc>
          <w:tcPr>
            <w:tcW w:w="19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Tabuľka č. 1</w:t>
            </w:r>
          </w:p>
        </w:tc>
        <w:tc>
          <w:tcPr>
            <w:tcW w:w="107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98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7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975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Výnosy, ktoré majú výnimočný rozsah alebo výskyt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dotácie za rok 2023</w:t>
            </w:r>
          </w:p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191432</w:t>
            </w: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147854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1073"/>
        <w:gridCol w:w="634"/>
        <w:gridCol w:w="2"/>
        <w:gridCol w:w="1556"/>
        <w:gridCol w:w="1098"/>
        <w:gridCol w:w="323"/>
        <w:gridCol w:w="1629"/>
        <w:gridCol w:w="977"/>
        <w:gridCol w:w="159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Tabuľka č. 2 </w:t>
            </w:r>
            <w:r>
              <w:rPr>
                <w:rFonts w:eastAsia="MS Gothic" w:cs="Times New Roman" w:ascii="Times New Roman" w:hAnsi="Times New Roman"/>
                <w:b/>
                <w:color w:val="000000"/>
                <w:sz w:val="18"/>
                <w:szCs w:val="18"/>
                <w:lang w:eastAsia="sk-SK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ÚJ nemá náplň pre danú položku </w:t>
            </w:r>
          </w:p>
        </w:tc>
        <w:tc>
          <w:tcPr>
            <w:tcW w:w="10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63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558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98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323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2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694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65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 w:val="18"/>
          <w:szCs w:val="18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 ÚJ nemá náplň pre danú položku </w:t>
      </w:r>
    </w:p>
    <w:tbl>
      <w:tblPr>
        <w:tblW w:w="9341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Druh podmieneného majetku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265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PO</w:t>
            </w:r>
          </w:p>
        </w:tc>
      </w:tr>
      <w:tr>
        <w:trPr>
          <w:trHeight w:val="13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Práva zo servisných zmlúv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Práva z poistných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Práva z koncesionárskych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Práva z licenčných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Práva z privatizácie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Práva zo súdnych sporov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Iné práva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 ÚJ nemá náplň pre danú položku 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000"/>
        <w:gridCol w:w="960"/>
        <w:gridCol w:w="1060"/>
        <w:gridCol w:w="1120"/>
        <w:gridCol w:w="1039"/>
        <w:gridCol w:w="65"/>
        <w:gridCol w:w="95"/>
        <w:gridCol w:w="1840"/>
        <w:gridCol w:w="160"/>
        <w:gridCol w:w="2"/>
        <w:gridCol w:w="1798"/>
        <w:gridCol w:w="216"/>
      </w:tblGrid>
      <w:tr>
        <w:trPr>
          <w:trHeight w:val="330" w:hRule="atLeast"/>
        </w:trPr>
        <w:tc>
          <w:tcPr>
            <w:tcW w:w="19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sk-SK"/>
              </w:rPr>
            </w:r>
          </w:p>
        </w:tc>
        <w:tc>
          <w:tcPr>
            <w:tcW w:w="112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3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4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16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25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209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 celkom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Zo súdnych rozhodnutí</w:t>
            </w:r>
          </w:p>
        </w:tc>
        <w:tc>
          <w:tcPr>
            <w:tcW w:w="209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 poskytnutých záruk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Zo všeobecne záväzných právnych predpisov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Zo zmluvy o podriadenom záväzku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 ručenia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Iné podmienené záväzky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100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Arial" w:hAnsi="Arial" w:eastAsia="Times New Roman" w:cs="Arial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9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Tabuľka č. 2</w:t>
            </w:r>
            <w:r>
              <w:rPr>
                <w:rFonts w:eastAsia="Times New Roman" w:cs="Arial" w:ascii="Arial" w:hAnsi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:lang w:eastAsia="sk-SK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ÚJ nemá náplň pre danú položku </w:t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44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209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 celkom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Zo súdnych rozhodnutí</w:t>
            </w:r>
          </w:p>
        </w:tc>
        <w:tc>
          <w:tcPr>
            <w:tcW w:w="2097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 poskytnutých záruk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Zo všeobecne záväzných právnych predpisov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Zo zmluvy o podriadenom záväzku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 ručenia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Iné podmienené záväzky</w:t>
            </w:r>
          </w:p>
        </w:tc>
        <w:tc>
          <w:tcPr>
            <w:tcW w:w="2097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4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 xml:space="preserve">Informácie o podmienených záväzkoch ÚJ nemá náplň pre danú položku 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93"/>
        <w:gridCol w:w="951"/>
        <w:gridCol w:w="1"/>
        <w:gridCol w:w="1046"/>
        <w:gridCol w:w="1"/>
        <w:gridCol w:w="1104"/>
        <w:gridCol w:w="1028"/>
        <w:gridCol w:w="1"/>
        <w:gridCol w:w="261"/>
        <w:gridCol w:w="1"/>
        <w:gridCol w:w="1717"/>
        <w:gridCol w:w="265"/>
        <w:gridCol w:w="1"/>
        <w:gridCol w:w="1683"/>
        <w:gridCol w:w="302"/>
      </w:tblGrid>
      <w:tr>
        <w:trPr>
          <w:trHeight w:val="330" w:hRule="atLeast"/>
        </w:trPr>
        <w:tc>
          <w:tcPr>
            <w:tcW w:w="1945" w:type="dxa"/>
            <w:gridSpan w:val="3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Tabuľka č.1</w:t>
            </w:r>
          </w:p>
        </w:tc>
        <w:tc>
          <w:tcPr>
            <w:tcW w:w="1047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10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717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65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302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182" w:hRule="atLeast"/>
        </w:trPr>
        <w:tc>
          <w:tcPr>
            <w:tcW w:w="5387" w:type="dxa"/>
            <w:gridSpan w:val="10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8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</w:tr>
      <w:tr>
        <w:trPr>
          <w:trHeight w:val="186" w:hRule="atLeast"/>
        </w:trPr>
        <w:tc>
          <w:tcPr>
            <w:tcW w:w="5387" w:type="dxa"/>
            <w:gridSpan w:val="10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8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Spriaznené osoby</w:t>
            </w:r>
          </w:p>
        </w:tc>
      </w:tr>
      <w:tr>
        <w:trPr>
          <w:trHeight w:val="178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387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97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993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</w:r>
          </w:p>
        </w:tc>
        <w:tc>
          <w:tcPr>
            <w:tcW w:w="951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105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28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718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6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302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45" w:type="dxa"/>
            <w:gridSpan w:val="3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Tabuľka č. 2</w:t>
            </w:r>
            <w:r>
              <w:rPr>
                <w:rFonts w:eastAsia="MS Gothic" w:cs="Times New Roman" w:ascii="Times New Roman" w:hAnsi="Times New Roman"/>
                <w:b/>
                <w:sz w:val="18"/>
                <w:szCs w:val="18"/>
                <w:lang w:eastAsia="sk-SK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ÚJ nemá náplň pre danú položku </w:t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10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717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26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  <w:tc>
          <w:tcPr>
            <w:tcW w:w="302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</w:r>
          </w:p>
        </w:tc>
      </w:tr>
      <w:tr>
        <w:trPr>
          <w:trHeight w:val="529" w:hRule="atLeast"/>
        </w:trPr>
        <w:tc>
          <w:tcPr>
            <w:tcW w:w="5387" w:type="dxa"/>
            <w:gridSpan w:val="10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8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266" w:hRule="atLeast"/>
        </w:trPr>
        <w:tc>
          <w:tcPr>
            <w:tcW w:w="5387" w:type="dxa"/>
            <w:gridSpan w:val="10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8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Spriaznené osoby</w:t>
            </w:r>
          </w:p>
        </w:tc>
      </w:tr>
      <w:tr>
        <w:trPr>
          <w:trHeight w:val="256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0" w:hRule="atLeast"/>
        </w:trPr>
        <w:tc>
          <w:tcPr>
            <w:tcW w:w="5387" w:type="dxa"/>
            <w:gridSpan w:val="10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29" w:hRule="atLeast"/>
        </w:trPr>
        <w:tc>
          <w:tcPr>
            <w:tcW w:w="5387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46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  <w:tab/>
        <w:t>Informácie o údajoch na podsúvahových účtoch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nemá náplň pre danú položku </w:t>
      </w:r>
    </w:p>
    <w:tbl>
      <w:tblPr>
        <w:tblW w:w="9341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23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Majetok v nájme (operatívny prenájom)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0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Pohľadávky z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Záväzky z opcií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Pohľadávky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Záväzky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 w:val="18"/>
          <w:szCs w:val="18"/>
        </w:rPr>
      </w:pPr>
      <w:r>
        <w:rPr>
          <w:rFonts w:cs="Times New Roman" w:ascii="Times New Roman" w:hAnsi="Times New Roman"/>
          <w:b/>
          <w:color w:val="5B9BD5" w:themeColor="accent1"/>
          <w:sz w:val="18"/>
          <w:szCs w:val="18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 w:val="18"/>
          <w:szCs w:val="18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/>
        <w:ind w:left="1134" w:hanging="1134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j)   Udalosti, ktoré nastali po dni, ku ktorému sa zostavuje účtovná závierka ÚJ nemá náplň pre danú položku </w:t>
      </w:r>
    </w:p>
    <w:tbl>
      <w:tblPr>
        <w:tblW w:w="9341" w:type="dxa"/>
        <w:jc w:val="left"/>
        <w:tblInd w:w="-44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9"/>
        <w:gridCol w:w="1941"/>
        <w:gridCol w:w="1701"/>
        <w:gridCol w:w="1559"/>
      </w:tblGrid>
      <w:tr>
        <w:trPr>
          <w:trHeight w:val="330" w:hRule="atLeast"/>
        </w:trPr>
        <w:tc>
          <w:tcPr>
            <w:tcW w:w="41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Hodnota</w:t>
            </w:r>
          </w:p>
        </w:tc>
      </w:tr>
      <w:tr>
        <w:trPr>
          <w:trHeight w:val="318" w:hRule="atLeast"/>
        </w:trPr>
        <w:tc>
          <w:tcPr>
            <w:tcW w:w="4139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r>
          </w:p>
        </w:tc>
        <w:tc>
          <w:tcPr>
            <w:tcW w:w="1941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PO</w:t>
            </w:r>
          </w:p>
        </w:tc>
      </w:tr>
      <w:tr>
        <w:trPr>
          <w:trHeight w:val="1192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635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Zmena výšky rezerv a opravných položiek, </w:t>
              <w:br/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6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4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3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3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59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425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 w:val="18"/>
          <w:szCs w:val="18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auto" w:line="240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  <w:tab/>
        <w:t xml:space="preserve">      jednotke     ÚJ nemá náplň pre danú položku 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udelených výlučných práv alebo osobitných práv, a práv poskytovať služby vo verejnom záujme </w:t>
      </w:r>
      <w:r>
        <w:rPr>
          <w:rFonts w:eastAsia="MS Gothic" w:cs="Times New Roman" w:ascii="Times New Roman" w:hAnsi="Times New Roman"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  <w:br/>
        <w:t>a výnosov, všetky druhy činností účtovnej jednotky):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ÚJ nemá náplň pre danú položku 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7"/>
        <w:gridCol w:w="1714"/>
        <w:gridCol w:w="1984"/>
        <w:gridCol w:w="1701"/>
        <w:gridCol w:w="1985"/>
      </w:tblGrid>
      <w:tr>
        <w:trPr>
          <w:trHeight w:val="504" w:hRule="atLeast"/>
        </w:trPr>
        <w:tc>
          <w:tcPr>
            <w:tcW w:w="1957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Informácie o</w:t>
            </w:r>
          </w:p>
        </w:tc>
        <w:tc>
          <w:tcPr>
            <w:tcW w:w="3698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256" w:hRule="atLeast"/>
        </w:trPr>
        <w:tc>
          <w:tcPr>
            <w:tcW w:w="1957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369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Vlastníctvo pripadajúce na:</w:t>
            </w:r>
          </w:p>
        </w:tc>
      </w:tr>
      <w:tr>
        <w:trPr>
          <w:trHeight w:val="1110" w:hRule="atLeast"/>
        </w:trPr>
        <w:tc>
          <w:tcPr>
            <w:tcW w:w="1957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17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iné osoby, v ktorých má orgán verejnej moci väčšinový podiel na hlasovacích právach</w:t>
            </w:r>
          </w:p>
        </w:tc>
      </w:tr>
      <w:tr>
        <w:trPr>
          <w:trHeight w:val="64" w:hRule="atLeast"/>
        </w:trPr>
        <w:tc>
          <w:tcPr>
            <w:tcW w:w="195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1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195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Výška ZI</w:t>
            </w:r>
          </w:p>
        </w:tc>
        <w:tc>
          <w:tcPr>
            <w:tcW w:w="171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57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Druh akcií</w:t>
            </w:r>
          </w:p>
        </w:tc>
        <w:tc>
          <w:tcPr>
            <w:tcW w:w="171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939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Opis práv a povinností s nimi spojených 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Percentuálny podiel na celkovom ZI alebo hodnote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08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Percentuálna výška podielu na ZI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Hlasovacie práva spojené s vlastníctvom podielov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195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Druh akcií</w:t>
            </w:r>
          </w:p>
        </w:tc>
        <w:tc>
          <w:tcPr>
            <w:tcW w:w="17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Opis práv a povinností s nimi spojených 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694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Percentuálny podiel na celkovom ZI alebo hodnote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06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Percentuálna výška podielu na ZI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941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Hlasovacie práva spojené s vlastníctvom podielov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957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Druh akcií</w:t>
            </w:r>
          </w:p>
        </w:tc>
        <w:tc>
          <w:tcPr>
            <w:tcW w:w="17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633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Opis práv a povinností s nimi spojených 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701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Percentuálny podiel na celkovom ZI alebo hodnote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72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Percentuálna výška podielu na ZI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833" w:hRule="atLeast"/>
        </w:trPr>
        <w:tc>
          <w:tcPr>
            <w:tcW w:w="1957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Hlasovacie práva spojené s </w:t>
            </w:r>
            <w:bookmarkStart w:id="1" w:name="_GoBack"/>
            <w:bookmarkEnd w:id="1"/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vlastníctvom podielov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auto" w:line="240"/>
        <w:ind w:left="993" w:hanging="993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priemyselnej výroby a jej čistý obrat za bezprostredne predchádzajúce účtovné obdobie bol väčší ako 250 000 000 € ÚJ nemá náplň pre danú položku </w:t>
      </w:r>
    </w:p>
    <w:tbl>
      <w:tblPr>
        <w:tblW w:w="9333" w:type="dxa"/>
        <w:jc w:val="left"/>
        <w:tblInd w:w="-44" w:type="dxa"/>
        <w:tblBorders>
          <w:top w:val="single" w:sz="18" w:space="0" w:color="00000A"/>
          <w:left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40"/>
        <w:gridCol w:w="2641"/>
        <w:gridCol w:w="2552"/>
      </w:tblGrid>
      <w:tr>
        <w:trPr>
          <w:trHeight w:val="330" w:hRule="atLeast"/>
        </w:trPr>
        <w:tc>
          <w:tcPr>
            <w:tcW w:w="4140" w:type="dxa"/>
            <w:vMerge w:val="restart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Suma</w:t>
            </w:r>
          </w:p>
        </w:tc>
      </w:tr>
      <w:tr>
        <w:trPr>
          <w:trHeight w:val="491" w:hRule="atLeast"/>
        </w:trPr>
        <w:tc>
          <w:tcPr>
            <w:tcW w:w="4140" w:type="dxa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2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</w:tr>
      <w:tr>
        <w:trPr>
          <w:trHeight w:val="934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90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9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17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41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74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9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6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709" w:hanging="709"/>
        <w:jc w:val="both"/>
        <w:rPr>
          <w:sz w:val="18"/>
          <w:szCs w:val="18"/>
        </w:rPr>
      </w:pPr>
      <w:r>
        <w:rPr>
          <w:rFonts w:eastAsia="MS Gothic" w:cs="Times New Roman" w:ascii="Times New Roman" w:hAnsi="Times New Roman"/>
          <w:b/>
          <w:sz w:val="18"/>
          <w:szCs w:val="1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  <w:tab/>
        <w:t xml:space="preserve">Informácie týkajúce sa účtovnej jednotky, na ktorú sa vzťahuje § 23d ods. 6 ZoÚ, jej činnosť je zaradená do kategórie priemyselnej výroby a jej čistý obrat za bezprostredne predchádzajúce účtovné obdobie bol väčší ako 250 000 000 € o finančných vzťahoch medzi orgánom verejnej moci a účtovnou jednotkou:ÚJ nemá náplň pre danú položku </w:t>
      </w:r>
    </w:p>
    <w:tbl>
      <w:tblPr>
        <w:tblW w:w="9341" w:type="dxa"/>
        <w:jc w:val="left"/>
        <w:tblInd w:w="-44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1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509"/>
        <w:gridCol w:w="2694"/>
      </w:tblGrid>
      <w:tr>
        <w:trPr>
          <w:trHeight w:val="205" w:hRule="atLeast"/>
        </w:trPr>
        <w:tc>
          <w:tcPr>
            <w:tcW w:w="4138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Suma</w:t>
            </w:r>
          </w:p>
        </w:tc>
      </w:tr>
      <w:tr>
        <w:trPr>
          <w:trHeight w:val="565" w:hRule="atLeast"/>
        </w:trPr>
        <w:tc>
          <w:tcPr>
            <w:tcW w:w="4138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</w:r>
          </w:p>
        </w:tc>
        <w:tc>
          <w:tcPr>
            <w:tcW w:w="2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82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</w:tr>
      <w:tr>
        <w:trPr>
          <w:trHeight w:val="281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59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7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10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404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18"/>
          <w:szCs w:val="18"/>
        </w:rPr>
      </w:pPr>
      <w:r>
        <w:rPr>
          <w:rFonts w:eastAsia="MS Gothic" w:cs="Times New Roman" w:ascii="Times New Roman" w:hAnsi="Times New Roman"/>
          <w:sz w:val="18"/>
          <w:szCs w:val="18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15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614" w:type="dxa"/>
      <w:jc w:val="left"/>
      <w:tblInd w:w="0" w:type="dxa"/>
      <w:tblCellMar>
        <w:top w:w="0" w:type="dxa"/>
        <w:left w:w="12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691"/>
      <w:gridCol w:w="710"/>
      <w:gridCol w:w="297"/>
      <w:gridCol w:w="297"/>
      <w:gridCol w:w="297"/>
      <w:gridCol w:w="297"/>
      <w:gridCol w:w="297"/>
      <w:gridCol w:w="297"/>
      <w:gridCol w:w="297"/>
      <w:gridCol w:w="298"/>
      <w:gridCol w:w="868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2"/>
    </w:tblGrid>
    <w:tr>
      <w:trPr>
        <w:trHeight w:val="138" w:hRule="atLeast"/>
      </w:trPr>
      <w:tc>
        <w:tcPr>
          <w:tcW w:w="269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-108" w:right="-121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710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98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868" w:type="dxa"/>
          <w:tcBorders>
            <w:top w:val="nil"/>
            <w:bottom w:val="nil"/>
            <w:insideH w:val="nil"/>
          </w:tcBorders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5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5</w:t>
          </w:r>
        </w:p>
      </w:tc>
      <w:tc>
        <w:tcPr>
          <w:tcW w:w="297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92" w:type="dxa"/>
          <w:tcBorders/>
          <w:shd w:fill="auto" w:val="clear"/>
          <w:tcMar>
            <w:left w:w="9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position w:val="2"/>
              <w:szCs w:val="24"/>
            </w:rPr>
            <w:t>5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LibreOffice/5.1.5.2$Windows_x86 LibreOffice_project/7a864d8825610a8c07cfc3bc01dd4fce6a9447e5</Application>
  <Pages>15</Pages>
  <Words>2625</Words>
  <Characters>15711</Characters>
  <CharactersWithSpaces>18869</CharactersWithSpaces>
  <Paragraphs>1072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2016-01-29T08:33:00Z</dcterms:created>
  <dc:creator>Martin T</dc:creator>
  <dc:description/>
  <dc:language>sk-SK</dc:language>
  <cp:lastModifiedBy/>
  <cp:lastPrinted>2016-01-29T11:21:00Z</cp:lastPrinted>
  <dcterms:modified xsi:type="dcterms:W3CDTF">2024-03-27T11:42:05Z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