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Mriekatabuky"/>
        <w:tblW w:w="10157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68"/>
        <w:gridCol w:w="2569"/>
        <w:gridCol w:w="339"/>
        <w:gridCol w:w="340"/>
        <w:gridCol w:w="338"/>
        <w:gridCol w:w="339"/>
        <w:gridCol w:w="339"/>
        <w:gridCol w:w="340"/>
        <w:gridCol w:w="338"/>
        <w:gridCol w:w="339"/>
        <w:gridCol w:w="568"/>
        <w:gridCol w:w="334"/>
        <w:gridCol w:w="335"/>
        <w:gridCol w:w="335"/>
        <w:gridCol w:w="336"/>
      </w:tblGrid>
      <w:tr>
        <w:trPr/>
        <w:tc>
          <w:tcPr>
            <w:tcW w:w="2968" w:type="dxa"/>
            <w:tcBorders/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eastAsia="sk-SK" w:bidi="ar-SA"/>
              </w:rPr>
              <w:t>Poznámky (Úč  NUJ 3 – 01)</w:t>
            </w:r>
          </w:p>
        </w:tc>
        <w:tc>
          <w:tcPr>
            <w:tcW w:w="2569" w:type="dxa"/>
            <w:tcBorders>
              <w:top w:val="nil"/>
              <w:bottom w:val="nil"/>
            </w:tcBorders>
            <w:vAlign w:val="center"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 xml:space="preserve">IČO </w:t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3</w:t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0</w:t>
            </w:r>
          </w:p>
        </w:tc>
        <w:tc>
          <w:tcPr>
            <w:tcW w:w="338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2</w:t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3</w:t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1</w:t>
            </w:r>
          </w:p>
        </w:tc>
        <w:tc>
          <w:tcPr>
            <w:tcW w:w="340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2</w:t>
            </w:r>
          </w:p>
        </w:tc>
        <w:tc>
          <w:tcPr>
            <w:tcW w:w="338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2</w:t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1</w:t>
            </w:r>
          </w:p>
        </w:tc>
        <w:tc>
          <w:tcPr>
            <w:tcW w:w="568" w:type="dxa"/>
            <w:tcBorders>
              <w:top w:val="nil"/>
              <w:bottom w:val="nil"/>
            </w:tcBorders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/SID</w:t>
            </w:r>
          </w:p>
        </w:tc>
        <w:tc>
          <w:tcPr>
            <w:tcW w:w="334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35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35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36" w:type="dxa"/>
            <w:tcBorders/>
          </w:tcPr>
          <w:p>
            <w:pPr>
              <w:pStyle w:val="Normal"/>
              <w:keepNext w:val="true"/>
              <w:widowControl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(1) Telovýchovná jednota Priehrada Udiča, Udiča 714, 018 01 Udiča dátum založenia :16.7.1990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(2) Štatutár : Roman Cesnárik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(3)  Opis činnosti – poskytovanie športovej činnosti rozvoj žiackeho, dorastového, mužského futbalového klubu.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sz w:val="22"/>
          <w:szCs w:val="22"/>
        </w:rPr>
        <w:t>Podnikateľská činnosť sa skladá pomocných expedičných prác v doprave.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 2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 </w:t>
      </w:r>
      <w:r>
        <w:rPr>
          <w:b/>
          <w:sz w:val="22"/>
          <w:szCs w:val="22"/>
        </w:rPr>
        <w:t>áno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 </w:t>
      </w:r>
      <w:r>
        <w:rPr>
          <w:b/>
          <w:sz w:val="22"/>
          <w:szCs w:val="22"/>
        </w:rPr>
        <w:t xml:space="preserve"> podvojné účtovníctvo spôsob účtovania B.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(3) Spôsob oceňovania jednotlivých položiek majetku a záväzkov v členení na  </w:t>
      </w:r>
      <w:r>
        <w:rPr>
          <w:b/>
          <w:sz w:val="22"/>
          <w:szCs w:val="22"/>
        </w:rPr>
        <w:t>menovitou hodnotou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a) dlhodobý nehmotný majetok obstaraný kúpou,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b) dlhodobý nehmotný majetok obstaraný vlastnou činnosťou,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d) dlhodobý hmotný majetok obstaraný kúpou,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e) dlhodobý hmotný majetok obstaraný vlastnou činnosťou,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  <w:r>
        <w:rPr>
          <w:b/>
          <w:sz w:val="22"/>
          <w:szCs w:val="22"/>
        </w:rPr>
        <w:t xml:space="preserve">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g) dlhodobý finančný majetok,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h) zásoby obstarané kúpou ,áno – obstarávacou cenou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i) zásoby vytvorené vlastnou činnosťou,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j) zásoby obstarané iným spôsobom,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k) pohľadávky, áno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l) krátkodobý finančný majetok, áno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m) časové rozlíšenie na strane aktív,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 áno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o) časové rozlíšenie na strane pasív,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(4) Spôsob zostavenia odpisového plánu pre jednotlivé druhy dlhodobého hmotného majetku  a dlhodobého nehmotného majetku, pričom sa uvádza doba odpisovania, použité sadzby odpisov a odpisové metódy pri určení odpisov. V roku 2022 sa zakúpila tribúna –odpis.skupina 4 doba 12 rokov rovnomerné odpisovanie (daňové odpisy sa rovnajú s účtovnými.)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(5) Zásady pre zohľadnenie zníženia hodnoty majetku. Uvádza sa, či účtovná jednotka uplatňuje opravné položky a rezervy.nie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dlhodobom nehmotnom majetku a dlhodobom hmotnom majetku za bežné účtovné obdobie, a to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a) prehľad o dlhodobom majetku podľa položiek tohto majetku v členení podľa položiek súvahy; uvádza sa stav dlhodobého majetku v prvotnom ocenení na začiatku bežného účtovného obdobia, ZS- 023 5000 KS023- 5000, prírastok 022 11449,20 </w:t>
      </w:r>
      <w:r>
        <w:rPr>
          <w:sz w:val="22"/>
          <w:szCs w:val="22"/>
        </w:rPr>
        <w:t>CELKOM 16 449,20€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 ZS 08 -  5</w:t>
      </w:r>
      <w:r>
        <w:rPr>
          <w:sz w:val="22"/>
          <w:szCs w:val="22"/>
        </w:rPr>
        <w:t>477,06</w:t>
      </w:r>
      <w:r>
        <w:rPr>
          <w:sz w:val="22"/>
          <w:szCs w:val="22"/>
        </w:rPr>
        <w:t xml:space="preserve"> prírastok 08- </w:t>
      </w:r>
      <w:r>
        <w:rPr>
          <w:sz w:val="22"/>
          <w:szCs w:val="22"/>
        </w:rPr>
        <w:t>954,10</w:t>
      </w:r>
      <w:r>
        <w:rPr>
          <w:sz w:val="22"/>
          <w:szCs w:val="22"/>
        </w:rPr>
        <w:t xml:space="preserve">, KS </w:t>
      </w:r>
      <w:r>
        <w:rPr>
          <w:sz w:val="22"/>
          <w:szCs w:val="22"/>
        </w:rPr>
        <w:t>6431,16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</w:t>
      </w:r>
      <w:r>
        <w:rPr>
          <w:sz w:val="22"/>
          <w:szCs w:val="22"/>
        </w:rPr>
        <w:t xml:space="preserve"> traktor -0, tribúna na začiatku 10 972,14</w:t>
      </w:r>
      <w:r>
        <w:rPr>
          <w:sz w:val="22"/>
          <w:szCs w:val="22"/>
        </w:rPr>
        <w:t xml:space="preserve"> a na konci bežného účtovného obdobia </w:t>
      </w:r>
      <w:r>
        <w:rPr>
          <w:sz w:val="22"/>
          <w:szCs w:val="22"/>
        </w:rPr>
        <w:t>10 018,04 €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dlhodobého majetku, na ktorý je zriadené záložné právo a dlhodobého majetku, pri ktorom má účtovná jednotka obmedzené právo s ním nakladať.NIE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Údaje o spôsobe a výške poistenia dlhodobého nehmotného majetku a dlhodobého hmotného majetku </w:t>
      </w:r>
      <w:r>
        <w:rPr>
          <w:sz w:val="22"/>
          <w:szCs w:val="22"/>
        </w:rPr>
        <w:t>148€</w:t>
      </w:r>
      <w:r>
        <w:rPr>
          <w:sz w:val="22"/>
          <w:szCs w:val="22"/>
        </w:rPr>
        <w:t xml:space="preserve"> 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Informácia o výške tvorby, zníženia a zúčtovania opravných položiek k dlhodobému finančnému majetku a opis dôvodu ich tvorby, zníženia a zúčtovania.-</w:t>
      </w:r>
      <w:r>
        <w:rPr>
          <w:sz w:val="22"/>
          <w:szCs w:val="22"/>
        </w:rPr>
        <w:t>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Opis významných pohľadávok v nadväznosti na položky súvahy a v členení na pohľadávky za hlavnú nezdaňovanú  činnosť,  zdaňovanú činnosť a podnikateľskú činnosť – </w:t>
      </w:r>
      <w:r>
        <w:rPr>
          <w:sz w:val="22"/>
          <w:szCs w:val="22"/>
        </w:rPr>
        <w:t>k 31.12.2023 podnikateľká činnosť pohľadávka 1610,40€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Prehľad  pohľadávok do lehoty splatnosti a po lehote splatnosti. Do lehoty </w:t>
      </w:r>
      <w:r>
        <w:rPr>
          <w:sz w:val="22"/>
          <w:szCs w:val="22"/>
        </w:rPr>
        <w:t>1 610,04€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významných položiek časového rozlíšenia nákladov budúcich období a príjmov budúcich období.nie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 Základné imaniE ZS 13 745,93 +prírastok</w:t>
      </w:r>
      <w:r>
        <w:rPr>
          <w:sz w:val="22"/>
          <w:szCs w:val="22"/>
        </w:rPr>
        <w:t>2022</w:t>
      </w:r>
      <w:r>
        <w:rPr>
          <w:sz w:val="22"/>
          <w:szCs w:val="22"/>
        </w:rPr>
        <w:t>(tribúna krytá zo zdrojov 423) 11 449,20  KS 25195,13 €</w:t>
      </w:r>
    </w:p>
    <w:p>
      <w:pPr>
        <w:pStyle w:val="Normal"/>
        <w:spacing w:lineRule="auto" w:line="240" w:before="0" w:after="120"/>
        <w:ind w:left="142" w:hanging="142"/>
        <w:rPr>
          <w:sz w:val="22"/>
          <w:szCs w:val="22"/>
        </w:rPr>
      </w:pPr>
      <w:r>
        <w:rPr>
          <w:sz w:val="22"/>
          <w:szCs w:val="22"/>
        </w:rPr>
        <w:t>b) opis jednotlivých druhov fondov, ktoré tvorí účtovná jednotka, stav na začiatku bežného účtovného obdobia, prírastky, úbytky, presuny a zostatok na konci bežného účtovného obdobia fondy tvorené zo zisku 423 ZS=</w:t>
      </w:r>
      <w:r>
        <w:rPr>
          <w:sz w:val="22"/>
          <w:szCs w:val="22"/>
        </w:rPr>
        <w:t>4759,48</w:t>
      </w:r>
      <w:r>
        <w:rPr>
          <w:sz w:val="22"/>
          <w:szCs w:val="22"/>
        </w:rPr>
        <w:t xml:space="preserve"> prírastok zo zisku z minulých období 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jc w:val="center"/>
        <w:rPr>
          <w:sz w:val="22"/>
          <w:szCs w:val="22"/>
        </w:rPr>
      </w:pPr>
      <w:r>
        <w:rPr>
          <w:sz w:val="22"/>
          <w:szCs w:val="22"/>
        </w:rPr>
        <w:t>Informácia o rozdelení účtovného zisku alebo vysporiadaní účtovnej straty vykázanej v minulých účtovných  obdobiach. Prevedené na účet 428-02</w:t>
      </w:r>
      <w:r>
        <w:rPr>
          <w:sz w:val="22"/>
          <w:szCs w:val="22"/>
        </w:rPr>
        <w:t>2</w:t>
      </w:r>
      <w:r>
        <w:rPr>
          <w:sz w:val="22"/>
          <w:szCs w:val="22"/>
        </w:rPr>
        <w:t xml:space="preserve"> Nevysporiadaný výsledok hospodárenia </w:t>
      </w:r>
      <w:r>
        <w:rPr>
          <w:sz w:val="22"/>
          <w:szCs w:val="22"/>
        </w:rPr>
        <w:t>strata 6 255,58 €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a výška cudzích zdrojov, a to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rezervy,nie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 0€ do lehoty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 0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vrátane- 0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rokov-0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 nie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zabezpečenia,nie</w:t>
      </w:r>
    </w:p>
    <w:p>
      <w:pPr>
        <w:pStyle w:val="Normal"/>
        <w:spacing w:lineRule="auto" w:line="240" w:before="0" w:after="240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 významných položkách výnosov budúcich období v členení najmä na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dane,</w:t>
      </w:r>
    </w:p>
    <w:p>
      <w:pPr>
        <w:pStyle w:val="Normal"/>
        <w:spacing w:lineRule="auto" w:line="240"/>
        <w:rPr>
          <w:b/>
          <w:sz w:val="22"/>
          <w:szCs w:val="22"/>
        </w:rPr>
      </w:pPr>
      <w:r>
        <w:rPr>
          <w:sz w:val="22"/>
          <w:szCs w:val="22"/>
        </w:rPr>
        <w:t>f</w:t>
      </w:r>
      <w:r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b/>
          <w:sz w:val="22"/>
          <w:szCs w:val="22"/>
        </w:rPr>
        <w:t>g) zostatková hodnota dlhodobého majetku obstaraného zo sponzorského</w:t>
      </w:r>
      <w:r>
        <w:rPr>
          <w:sz w:val="22"/>
          <w:szCs w:val="22"/>
        </w:rPr>
        <w:t>.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majetku prenajatom formou finančného prenájmu, a to - nie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>
        <w:rPr>
          <w:sz w:val="22"/>
          <w:szCs w:val="22"/>
        </w:rPr>
        <w:t>3. viac ako päť rokov.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(1) Prehľad tržieb za vlastné výkony a tovar s uvedením ich opisu a vyčíslením hodnoty tržieb podľa jednotlivých hlavných druhov výrobkov,  služieb hlavnej činnosti a podnikateľskej činnosti účtovnej jednotky-podnikat.činnosť tržby </w:t>
      </w:r>
      <w:r>
        <w:rPr>
          <w:sz w:val="22"/>
          <w:szCs w:val="22"/>
        </w:rPr>
        <w:t>20 304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(2) Opis a vyčíslenie hodnoty významných položiek prijatých darov, osobitných výnosov, zákonných poplatkov a iných ostatných výnosov. -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(3) Prehľad  dotácií a grantov, ktoré účtovná jednotka prijala v priebehu bežného účtovného obdobia. Dotácia Obecný úrad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10 000</w:t>
      </w:r>
      <w:r>
        <w:rPr>
          <w:sz w:val="22"/>
          <w:szCs w:val="22"/>
        </w:rPr>
        <w:t xml:space="preserve">€,    2% z daní </w:t>
      </w:r>
      <w:r>
        <w:rPr>
          <w:sz w:val="22"/>
          <w:szCs w:val="22"/>
        </w:rPr>
        <w:t>1 505,38</w:t>
      </w:r>
      <w:r>
        <w:rPr>
          <w:sz w:val="22"/>
          <w:szCs w:val="22"/>
        </w:rPr>
        <w:t xml:space="preserve"> €,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závierka.-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(5) Opis a vyčíslenie hodnoty významných položiek nákladov, nákladov na ostatné služby, osobitných nákladov a iných ostatných nákladov.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(6) Prehľad o účele a výške použitia podielu zaplatenej dane za bežné účtovné obdobie </w:t>
      </w:r>
      <w:r>
        <w:rPr>
          <w:sz w:val="22"/>
          <w:szCs w:val="22"/>
        </w:rPr>
        <w:t>1 505,38€</w:t>
      </w:r>
      <w:r>
        <w:rPr>
          <w:sz w:val="22"/>
          <w:szCs w:val="22"/>
        </w:rPr>
        <w:t xml:space="preserve"> športová činnosť.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 nie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  Nie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b) poisťovacie audítorské služby okrem  overenia účtovnej závierky,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c) daňové poradenstvo,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d) ostatné neaudítorské služby.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a) povinnosť z devízových termínovaných obchodov a iných finančných derivátov,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b) povinnosť z opčných obchodov,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c) 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d) 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 xml:space="preserve">e) iné povinnosti.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4" w:type="dxa"/>
        <w:jc w:val="left"/>
        <w:tblInd w:w="2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961"/>
        <w:gridCol w:w="2410"/>
        <w:gridCol w:w="2553"/>
      </w:tblGrid>
      <w:tr>
        <w:trPr/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rPr/>
            </w:pPr>
            <w:r>
              <w:rPr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2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2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6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6</w:t>
            </w:r>
          </w:p>
        </w:tc>
      </w:tr>
    </w:tbl>
    <w:p>
      <w:pPr>
        <w:sectPr>
          <w:footerReference w:type="default" r:id="rId2"/>
          <w:type w:val="nextPage"/>
          <w:pgSz w:w="11906" w:h="16838"/>
          <w:pgMar w:left="851" w:right="851" w:gutter="0" w:header="0" w:top="851" w:footer="709" w:bottom="851"/>
          <w:pgNumType w:start="7" w:fmt="decimal"/>
          <w:formProt w:val="false"/>
          <w:textDirection w:val="lrTb"/>
          <w:docGrid w:type="default" w:linePitch="272" w:charSpace="8192"/>
        </w:sectPr>
        <w:pStyle w:val="Normal"/>
        <w:spacing w:lineRule="auto" w:line="240" w:before="0" w:after="12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376"/>
        <w:gridCol w:w="1871"/>
        <w:gridCol w:w="1871"/>
        <w:gridCol w:w="1872"/>
        <w:gridCol w:w="1871"/>
        <w:gridCol w:w="1871"/>
        <w:gridCol w:w="1871"/>
        <w:gridCol w:w="1869"/>
      </w:tblGrid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09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154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>
        <w:trPr>
          <w:trHeight w:val="361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61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943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1"/>
      </w:tblGrid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11449,20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16449,20</w:t>
            </w:r>
          </w:p>
        </w:tc>
      </w:tr>
      <w:tr>
        <w:trPr>
          <w:trHeight w:val="40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2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2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11449,20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16449,20</w:t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477,06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5477,06</w:t>
            </w:r>
          </w:p>
        </w:tc>
      </w:tr>
      <w:tr>
        <w:trPr>
          <w:trHeight w:val="426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954,10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954,10</w:t>
            </w:r>
          </w:p>
        </w:tc>
      </w:tr>
      <w:tr>
        <w:trPr>
          <w:trHeight w:val="439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10018,04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15018,04</w:t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09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61" w:hRule="atLeast"/>
        </w:trPr>
        <w:tc>
          <w:tcPr>
            <w:tcW w:w="1568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>
        <w:trPr>
          <w:trHeight w:val="36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6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871"/>
        <w:gridCol w:w="2110"/>
        <w:gridCol w:w="1969"/>
        <w:gridCol w:w="1687"/>
        <w:gridCol w:w="1522"/>
        <w:gridCol w:w="1292"/>
        <w:gridCol w:w="1406"/>
        <w:gridCol w:w="1293"/>
        <w:gridCol w:w="984"/>
      </w:tblGrid>
      <w:tr>
        <w:trPr>
          <w:trHeight w:val="1393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1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151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151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90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630"/>
        <w:gridCol w:w="2126"/>
        <w:gridCol w:w="2551"/>
        <w:gridCol w:w="1700"/>
        <w:gridCol w:w="2552"/>
        <w:gridCol w:w="2268"/>
        <w:gridCol w:w="2410"/>
      </w:tblGrid>
      <w:tr>
        <w:trPr>
          <w:trHeight w:val="399" w:hRule="atLeast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>
        <w:trPr>
          <w:trHeight w:val="1073" w:hRule="atLeast"/>
        </w:trPr>
        <w:tc>
          <w:tcPr>
            <w:tcW w:w="163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12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55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>
        <w:trPr>
          <w:trHeight w:val="283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/>
          <w:sz w:val="16"/>
        </w:rPr>
      </w:pPr>
      <w:r>
        <w:rPr>
          <w:rFonts w:ascii="Arial" w:hAnsi="Arial"/>
          <w:sz w:val="16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55"/>
        <w:gridCol w:w="3393"/>
        <w:gridCol w:w="1986"/>
        <w:gridCol w:w="2268"/>
        <w:gridCol w:w="3543"/>
      </w:tblGrid>
      <w:tr>
        <w:trPr/>
        <w:tc>
          <w:tcPr>
            <w:tcW w:w="3055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Krátkodobý finančný majetok</w:t>
            </w:r>
          </w:p>
        </w:tc>
        <w:tc>
          <w:tcPr>
            <w:tcW w:w="339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Stav na začiatku bežného účtovného obdobia</w:t>
            </w:r>
          </w:p>
        </w:tc>
        <w:tc>
          <w:tcPr>
            <w:tcW w:w="198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Prírastky</w:t>
            </w:r>
          </w:p>
        </w:tc>
        <w:tc>
          <w:tcPr>
            <w:tcW w:w="226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Úbytky</w:t>
            </w:r>
          </w:p>
        </w:tc>
        <w:tc>
          <w:tcPr>
            <w:tcW w:w="354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Stav na konci bežného účtovného obdobia</w:t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>Majetkové cenné papiere na obchodovanie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 xml:space="preserve">Dlhové cenné papiere na obchodovanie 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 xml:space="preserve">Dlhové cenné papiere so splatnosťou do jedného roka držané do splatnosti 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>Ostatné realizovateľné cenné papiere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>Obstarávanie krátkodobého finančného majetku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Krátkodobý finančný majetok spolu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9"/>
        <w:gridCol w:w="2914"/>
        <w:gridCol w:w="4251"/>
        <w:gridCol w:w="3260"/>
      </w:tblGrid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96"/>
        <w:gridCol w:w="2552"/>
        <w:gridCol w:w="2410"/>
        <w:gridCol w:w="2125"/>
        <w:gridCol w:w="2269"/>
        <w:gridCol w:w="2692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477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96"/>
        <w:gridCol w:w="2552"/>
        <w:gridCol w:w="2410"/>
        <w:gridCol w:w="2125"/>
        <w:gridCol w:w="2269"/>
        <w:gridCol w:w="2692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1610,40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1610,40</w:t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1610,40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1 610,40</w:t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1254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22"/>
        <w:gridCol w:w="3827"/>
        <w:gridCol w:w="4395"/>
      </w:tblGrid>
      <w:tr>
        <w:trPr>
          <w:trHeight w:val="397" w:hRule="atLeast"/>
        </w:trPr>
        <w:tc>
          <w:tcPr>
            <w:tcW w:w="43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rPr/>
        <w:tc>
          <w:tcPr>
            <w:tcW w:w="432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rPr/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1610,40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1610,40</w:t>
            </w:r>
          </w:p>
        </w:tc>
      </w:tr>
      <w:tr>
        <w:trPr/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1610,40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1610,40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22"/>
        <w:gridCol w:w="2977"/>
        <w:gridCol w:w="1983"/>
        <w:gridCol w:w="1843"/>
        <w:gridCol w:w="1985"/>
        <w:gridCol w:w="2834"/>
      </w:tblGrid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25195,13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25195,13</w:t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4759,48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4759,48</w:t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-6255,58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  <w:t>-6255,58</w:t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- </w:t>
            </w:r>
            <w:r>
              <w:rPr>
                <w:b/>
                <w:sz w:val="22"/>
                <w:szCs w:val="22"/>
              </w:rPr>
              <w:t>1496,10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345"/>
        <w:gridCol w:w="4854"/>
      </w:tblGrid>
      <w:tr>
        <w:trPr>
          <w:trHeight w:val="765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1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  <w:t>-6255,58</w:t>
            </w:r>
          </w:p>
        </w:tc>
      </w:tr>
      <w:tr>
        <w:trPr>
          <w:trHeight w:val="330" w:hRule="atLeast"/>
        </w:trPr>
        <w:tc>
          <w:tcPr>
            <w:tcW w:w="11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  <w:t>-6255,58</w:t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jc w:val="left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04"/>
        <w:gridCol w:w="2694"/>
        <w:gridCol w:w="1984"/>
        <w:gridCol w:w="1843"/>
        <w:gridCol w:w="2127"/>
        <w:gridCol w:w="2692"/>
      </w:tblGrid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89" w:hRule="atLeast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jc w:val="left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89"/>
        <w:gridCol w:w="3118"/>
        <w:gridCol w:w="3545"/>
      </w:tblGrid>
      <w:tr>
        <w:trPr>
          <w:trHeight w:val="397" w:hRule="atLeast"/>
        </w:trPr>
        <w:tc>
          <w:tcPr>
            <w:tcW w:w="4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rPr/>
        <w:tc>
          <w:tcPr>
            <w:tcW w:w="488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rPr>
          <w:trHeight w:val="391" w:hRule="atLeast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</w:tr>
      <w:tr>
        <w:trPr>
          <w:trHeight w:val="391" w:hRule="atLeast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386,90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386,90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>
        <w:trPr/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78" w:hRule="atLeast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9" w:hRule="atLeast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val="409" w:hRule="atLeast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386,90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jc w:val="left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22"/>
        <w:gridCol w:w="3685"/>
        <w:gridCol w:w="3545"/>
      </w:tblGrid>
      <w:tr>
        <w:trPr/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val="375" w:hRule="atLeast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79" w:hRule="atLeast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11" w:hRule="atLeast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557" w:hRule="atLeast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14245" w:type="dxa"/>
        <w:jc w:val="left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0"/>
        <w:gridCol w:w="1134"/>
        <w:gridCol w:w="1843"/>
        <w:gridCol w:w="1560"/>
        <w:gridCol w:w="2126"/>
        <w:gridCol w:w="2693"/>
        <w:gridCol w:w="3118"/>
      </w:tblGrid>
      <w:tr>
        <w:trPr/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>
        <w:trPr/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5" w:hRule="atLeast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14388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70"/>
        <w:gridCol w:w="3663"/>
        <w:gridCol w:w="2127"/>
        <w:gridCol w:w="2267"/>
        <w:gridCol w:w="3261"/>
      </w:tblGrid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zostatku 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14388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7"/>
        <w:gridCol w:w="3119"/>
        <w:gridCol w:w="2268"/>
        <w:gridCol w:w="2693"/>
        <w:gridCol w:w="3261"/>
      </w:tblGrid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157"/>
        <w:gridCol w:w="3969"/>
        <w:gridCol w:w="3261"/>
      </w:tblGrid>
      <w:tr>
        <w:trPr/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>
        <w:trPr>
          <w:trHeight w:val="397" w:hRule="atLeast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športové potreby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467,36</w:t>
            </w:r>
          </w:p>
        </w:tc>
      </w:tr>
      <w:tr>
        <w:trPr>
          <w:trHeight w:val="397" w:hRule="atLeast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1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928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675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675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/>
      </w:r>
      <w:bookmarkStart w:id="0" w:name="_GoBack"/>
      <w:bookmarkStart w:id="1" w:name="_GoBack"/>
      <w:bookmarkEnd w:id="1"/>
    </w:p>
    <w:sectPr>
      <w:headerReference w:type="first" r:id="rId3"/>
      <w:footerReference w:type="default" r:id="rId4"/>
      <w:footerReference w:type="first" r:id="rId5"/>
      <w:type w:val="nextPage"/>
      <w:pgSz w:orient="landscape" w:w="16838" w:h="11906"/>
      <w:pgMar w:left="851" w:right="851" w:gutter="0" w:header="709" w:top="851" w:footer="709" w:bottom="851"/>
      <w:pgNumType w:fmt="decimal"/>
      <w:formProt w:val="false"/>
      <w:titlePg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11</w:t>
    </w:r>
    <w:r>
      <w:rPr/>
      <w:fldChar w:fldCharType="end"/>
    </w:r>
  </w:p>
  <w:p>
    <w:pPr>
      <w:pStyle w:val="Pta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23</w:t>
    </w:r>
    <w:r>
      <w:rPr/>
      <w:fldChar w:fldCharType="end"/>
    </w:r>
  </w:p>
  <w:p>
    <w:pPr>
      <w:pStyle w:val="Pta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 w:hanging="0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12</w:t>
    </w:r>
    <w:r>
      <w:rPr/>
      <w:fldChar w:fldCharType="end"/>
    </w:r>
  </w:p>
  <w:p>
    <w:pPr>
      <w:pStyle w:val="Pta"/>
      <w:spacing w:before="120" w:after="12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lavika"/>
      <w:spacing w:before="120" w:after="120"/>
      <w:jc w:val="right"/>
      <w:rPr/>
    </w:pPr>
    <w:r>
      <w:rPr/>
    </w:r>
  </w:p>
  <w:p>
    <w:pPr>
      <w:pStyle w:val="Hlavika"/>
      <w:spacing w:before="120" w:after="12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i w:val="false"/>
        <w:b w:val="false"/>
        <w:iCs w:val="false"/>
        <w:bCs w:val="false"/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>
    <w:lvl w:ilvl="0">
      <w:start w:val="1"/>
      <w:numFmt w:val="decimal"/>
      <w:lvlText w:val="K bodu %1"/>
      <w:lvlJc w:val="left"/>
      <w:pPr>
        <w:tabs>
          <w:tab w:val="num" w:pos="0"/>
        </w:tabs>
        <w:ind w:left="0" w:hanging="0"/>
      </w:pPr>
      <w:rPr>
        <w:i w:val="false"/>
        <w:b/>
        <w:iCs w:val="false"/>
        <w:bCs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(%1)"/>
      <w:lvlJc w:val="left"/>
      <w:pPr>
        <w:tabs>
          <w:tab w:val="num" w:pos="0"/>
        </w:tabs>
        <w:ind w:left="0" w:hanging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 w:color="000000"/>
        <w:b w:val="false"/>
        <w:kern w:val="0"/>
        <w:szCs w:val="24"/>
        <w:iCs w:val="false"/>
        <w:bCs w:val="false"/>
        <w:w w:val="100"/>
        <w:vanish w:val="false"/>
        <w:rFonts w:ascii="Arial Narrow" w:hAnsi="Arial Narrow" w:cs="Times New Roman"/>
        <w:color w:va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6"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i w:val="false"/>
        <w:b w:val="false"/>
        <w:iCs w:val="false"/>
        <w:bCs w:val="false"/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autoHyphenation w:val="true"/>
  <w:doNotHyphenateCaps/>
  <w:hyphenationZone w:val="425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91dcc"/>
    <w:pPr>
      <w:widowControl/>
      <w:suppressAutoHyphens w:val="true"/>
      <w:bidi w:val="0"/>
      <w:spacing w:lineRule="auto" w:line="360" w:before="120" w:after="120"/>
      <w:jc w:val="both"/>
    </w:pPr>
    <w:rPr>
      <w:rFonts w:ascii="Arial Narrow" w:hAnsi="Arial Narrow" w:cs="Arial" w:eastAsia="Times New Roman"/>
      <w:color w:val="auto"/>
      <w:kern w:val="0"/>
      <w:sz w:val="20"/>
      <w:szCs w:val="24"/>
      <w:lang w:eastAsia="cs-CZ" w:val="sk-SK" w:bidi="ar-SA"/>
    </w:rPr>
  </w:style>
  <w:style w:type="paragraph" w:styleId="Nadpis1">
    <w:name w:val="Heading 1"/>
    <w:basedOn w:val="Normal"/>
    <w:next w:val="Nadpis2"/>
    <w:link w:val="Nadpis1Char"/>
    <w:uiPriority w:val="99"/>
    <w:qFormat/>
    <w:rsid w:val="00d440d5"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al"/>
    <w:next w:val="Normal"/>
    <w:link w:val="Nadpis2Char"/>
    <w:uiPriority w:val="99"/>
    <w:qFormat/>
    <w:rsid w:val="00d440d5"/>
    <w:pPr>
      <w:keepNext w:val="true"/>
      <w:spacing w:before="240" w:after="60"/>
      <w:outlineLvl w:val="1"/>
    </w:pPr>
    <w:rPr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"/>
    <w:qFormat/>
    <w:locked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  <w:lang w:val="x-none" w:eastAsia="cs-CZ"/>
    </w:rPr>
  </w:style>
  <w:style w:type="character" w:styleId="Nadpis2Char" w:customStyle="1">
    <w:name w:val="Nadpis 2 Char"/>
    <w:basedOn w:val="DefaultParagraphFont"/>
    <w:uiPriority w:val="9"/>
    <w:semiHidden/>
    <w:qFormat/>
    <w:locked/>
    <w:rPr>
      <w:rFonts w:ascii="Cambria" w:hAnsi="Cambria" w:eastAsia="" w:cs="Times New Roman" w:asciiTheme="majorHAnsi" w:eastAsiaTheme="majorEastAsia" w:hAnsiTheme="majorHAnsi"/>
      <w:b/>
      <w:bCs/>
      <w:i/>
      <w:iCs/>
      <w:sz w:val="28"/>
      <w:szCs w:val="28"/>
      <w:lang w:val="x-none" w:eastAsia="cs-CZ"/>
    </w:rPr>
  </w:style>
  <w:style w:type="character" w:styleId="TltlnzovChar115ptAntiqueOliveNiejeTun" w:customStyle="1">
    <w:name w:val="Štýl Štýl § názov Char + 115 pt + Antique Olive Nie je Tučné"/>
    <w:basedOn w:val="DefaultParagraphFont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uiPriority w:val="99"/>
    <w:qFormat/>
    <w:locked/>
    <w:rPr>
      <w:rFonts w:ascii="Arial" w:hAnsi="Arial" w:cs="Arial"/>
      <w:sz w:val="24"/>
      <w:szCs w:val="24"/>
      <w:lang w:val="x-none" w:eastAsia="cs-CZ"/>
    </w:rPr>
  </w:style>
  <w:style w:type="character" w:styleId="Pagenumber">
    <w:name w:val="page number"/>
    <w:basedOn w:val="DefaultParagraphFont"/>
    <w:uiPriority w:val="99"/>
    <w:qFormat/>
    <w:rsid w:val="0072048d"/>
    <w:rPr>
      <w:rFonts w:cs="Times New Roman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e774eb"/>
    <w:rPr>
      <w:rFonts w:ascii="Tahoma" w:hAnsi="Tahoma" w:cs="Tahoma"/>
      <w:sz w:val="16"/>
      <w:szCs w:val="16"/>
      <w:lang w:val="x-none" w:eastAsia="cs-CZ"/>
    </w:rPr>
  </w:style>
  <w:style w:type="character" w:styleId="HlavikaChar" w:customStyle="1">
    <w:name w:val="Hlavička Char"/>
    <w:basedOn w:val="DefaultParagraphFont"/>
    <w:uiPriority w:val="99"/>
    <w:qFormat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next w:val="Normal"/>
    <w:uiPriority w:val="99"/>
    <w:qFormat/>
    <w:rsid w:val="00d71ffb"/>
    <w:pPr>
      <w:widowControl/>
      <w:bidi w:val="0"/>
      <w:spacing w:lineRule="auto" w:line="360" w:before="0" w:after="0"/>
      <w:jc w:val="both"/>
    </w:pPr>
    <w:rPr>
      <w:rFonts w:ascii="Arial" w:hAnsi="Arial" w:cs="Arial" w:eastAsia="Times New Roman"/>
      <w:color w:val="000000"/>
      <w:kern w:val="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numPr>
        <w:ilvl w:val="0"/>
        <w:numId w:val="2"/>
      </w:numPr>
      <w:bidi w:val="0"/>
      <w:spacing w:before="120" w:after="120"/>
      <w:jc w:val="left"/>
    </w:pPr>
    <w:rPr>
      <w:rFonts w:ascii="Arial" w:hAnsi="Arial" w:cs="Arial" w:eastAsia="Times New Roman"/>
      <w:b/>
      <w:bCs/>
      <w:color w:val="auto"/>
      <w:kern w:val="0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spacing w:before="0" w:after="0"/>
      <w:jc w:val="both"/>
    </w:pPr>
    <w:rPr>
      <w:rFonts w:ascii="Arial" w:hAnsi="Arial" w:cs="Arial" w:eastAsia="Times New Roman"/>
      <w:color w:val="auto"/>
      <w:kern w:val="0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numPr>
        <w:ilvl w:val="0"/>
        <w:numId w:val="3"/>
      </w:numPr>
      <w:spacing w:lineRule="auto" w:line="240"/>
    </w:pPr>
    <w:rPr/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link w:val="PtaChar"/>
    <w:uiPriority w:val="99"/>
    <w:rsid w:val="0072048d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Normlny1" w:customStyle="1">
    <w:name w:val="Normálny1"/>
    <w:next w:val="Normal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auto"/>
      <w:kern w:val="0"/>
      <w:sz w:val="24"/>
      <w:szCs w:val="24"/>
      <w:lang w:eastAsia="cs-CZ" w:val="sk-SK" w:bidi="ar-SA"/>
    </w:rPr>
  </w:style>
  <w:style w:type="paragraph" w:styleId="Textopatrenia" w:customStyle="1">
    <w:name w:val="Text opatrenia"/>
    <w:qFormat/>
    <w:rsid w:val="00503a66"/>
    <w:pPr>
      <w:widowControl/>
      <w:numPr>
        <w:ilvl w:val="0"/>
        <w:numId w:val="4"/>
      </w:numPr>
      <w:bidi w:val="0"/>
      <w:spacing w:before="120" w:after="120"/>
      <w:jc w:val="both"/>
    </w:pPr>
    <w:rPr>
      <w:rFonts w:ascii="Arial Narrow" w:hAnsi="Arial Narrow" w:cs="Arial" w:eastAsia="Times New Roman"/>
      <w:color w:val="auto"/>
      <w:kern w:val="0"/>
      <w:sz w:val="22"/>
      <w:szCs w:val="22"/>
      <w:lang w:eastAsia="cs-CZ" w:val="sk-SK" w:bidi="ar-SA"/>
    </w:rPr>
  </w:style>
  <w:style w:type="paragraph" w:styleId="TopHeader" w:customStyle="1">
    <w:name w:val="Top Header"/>
    <w:basedOn w:val="Normal"/>
    <w:qFormat/>
    <w:rsid w:val="00322d87"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e774eb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"/>
    <w:link w:val="HlavikaChar"/>
    <w:uiPriority w:val="99"/>
    <w:unhideWhenUsed/>
    <w:rsid w:val="00335024"/>
    <w:pPr>
      <w:tabs>
        <w:tab w:val="clear" w:pos="709"/>
        <w:tab w:val="center" w:pos="4536" w:leader="none"/>
        <w:tab w:val="right" w:pos="9072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header" Target="head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FC0A69-28C4-4B02-94FB-E08C914FD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Application>LibreOffice/7.5.2.2$Windows_X86_64 LibreOffice_project/53bb9681a964705cf672590721dbc85eb4d0c3a2</Application>
  <AppVersion>15.0000</AppVersion>
  <Pages>17</Pages>
  <Words>3161</Words>
  <Characters>19209</Characters>
  <CharactersWithSpaces>22050</CharactersWithSpaces>
  <Paragraphs>465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2023-03-07T16:46:00Z</dcterms:created>
  <dc:creator>jvrskova</dc:creator>
  <dc:description/>
  <dc:language>sk-SK</dc:language>
  <cp:lastModifiedBy/>
  <cp:lastPrinted>2013-11-04T09:32:00Z</cp:lastPrinted>
  <dcterms:modified xsi:type="dcterms:W3CDTF">2024-03-28T12:09:52Z</dcterms:modified>
  <cp:revision>4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