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AE866" w14:textId="77777777" w:rsidR="00E20791" w:rsidRDefault="00E20791" w:rsidP="00E20791">
      <w:pPr>
        <w:pStyle w:val="Default"/>
      </w:pPr>
    </w:p>
    <w:p w14:paraId="68229081" w14:textId="77777777" w:rsidR="00E20791" w:rsidRDefault="00E20791" w:rsidP="00E20791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>Poznámky ÚČ PODV 3-01 IČO : 313 307 89 DIČ : 2020314802</w:t>
      </w:r>
    </w:p>
    <w:p w14:paraId="110EA405" w14:textId="77777777" w:rsidR="00E20791" w:rsidRDefault="00E20791" w:rsidP="00E20791">
      <w:pPr>
        <w:pStyle w:val="Default"/>
        <w:rPr>
          <w:color w:val="auto"/>
        </w:rPr>
      </w:pPr>
    </w:p>
    <w:p w14:paraId="7F06E9C0" w14:textId="77777777" w:rsidR="00E20791" w:rsidRDefault="00E20791" w:rsidP="00E20791">
      <w:pPr>
        <w:pStyle w:val="Default"/>
        <w:rPr>
          <w:color w:val="auto"/>
        </w:rPr>
      </w:pPr>
    </w:p>
    <w:p w14:paraId="47425A2B" w14:textId="5E55D14B" w:rsidR="00E20791" w:rsidRDefault="00E20791" w:rsidP="00E20791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Čl. I</w:t>
      </w:r>
    </w:p>
    <w:p w14:paraId="578A015B" w14:textId="1D4B135F" w:rsidR="00E20791" w:rsidRDefault="00E20791" w:rsidP="00E20791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>
        <w:rPr>
          <w:rFonts w:ascii="Arial" w:hAnsi="Arial" w:cs="Arial"/>
          <w:b/>
          <w:bCs/>
          <w:color w:val="auto"/>
          <w:sz w:val="20"/>
          <w:szCs w:val="20"/>
        </w:rPr>
        <w:t>Všeobecné informácie</w:t>
      </w:r>
    </w:p>
    <w:p w14:paraId="124561D8" w14:textId="77777777" w:rsidR="00E20791" w:rsidRDefault="00E20791" w:rsidP="00E20791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14:paraId="6462E2D0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1) Obchodné meno účtovnej jednotky : ŠPORT PRESS, s.r.o. </w:t>
      </w:r>
    </w:p>
    <w:p w14:paraId="40A42ED6" w14:textId="143F6F0F" w:rsidR="00E20791" w:rsidRDefault="00E20791" w:rsidP="00E20791">
      <w:pPr>
        <w:pStyle w:val="Default"/>
        <w:rPr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>Sídlo účtovnej jednotky : Francisciho 4 , 811 8 Bratislava</w:t>
      </w:r>
    </w:p>
    <w:p w14:paraId="75A5A972" w14:textId="77777777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IČO : 31330789 </w:t>
      </w:r>
    </w:p>
    <w:p w14:paraId="6F627538" w14:textId="77777777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Opis hospodárskej činnosti účtovnej jednotky : </w:t>
      </w:r>
    </w:p>
    <w:p w14:paraId="2F37DA75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- tvorba a vydávanie periodickej a neperiodickej tlače, </w:t>
      </w:r>
    </w:p>
    <w:p w14:paraId="0CC490C0" w14:textId="77777777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- poskytovanie inzertných,propagačných a sprostredkovateľských služieb </w:t>
      </w:r>
    </w:p>
    <w:p w14:paraId="1F231DF0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</w:p>
    <w:p w14:paraId="6BF1CBD9" w14:textId="591A0F79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2) Dátum schválenia účtovnej závierky za bezprostredne predchádzajúce účtovné obdobie : Valné zhromaždenie spoločnosti na svojom zasadnutí dňa 22.03.2023 schválilo účtovnú závierku spoločnosti zostavenú k 31.12.2022. </w:t>
      </w:r>
    </w:p>
    <w:p w14:paraId="376F6DE7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</w:p>
    <w:p w14:paraId="36262337" w14:textId="68DC2706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3) Právny dôvod na zostavenie účtovnej závierky : účtovná závierka k 31.12.2023 je zostavená ako riadna účtovná závierka podľa §17 ods. 6 zákona NR SR č. 431/2002 Z.z. o účtovníctve za obdobie od 1.1.2023 do 31.12.2023. </w:t>
      </w:r>
    </w:p>
    <w:p w14:paraId="25580505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</w:p>
    <w:p w14:paraId="7021D7A9" w14:textId="77777777" w:rsidR="00E20791" w:rsidRDefault="00E20791" w:rsidP="00E20791">
      <w:pPr>
        <w:pStyle w:val="Default"/>
        <w:rPr>
          <w:rFonts w:ascii="Calibri" w:hAnsi="Calibri" w:cs="Calibri"/>
          <w:color w:val="auto"/>
          <w:sz w:val="20"/>
          <w:szCs w:val="20"/>
        </w:rPr>
      </w:pPr>
      <w:r>
        <w:rPr>
          <w:rFonts w:ascii="Calibri" w:hAnsi="Calibri" w:cs="Calibri"/>
          <w:color w:val="auto"/>
          <w:sz w:val="20"/>
          <w:szCs w:val="20"/>
        </w:rPr>
        <w:t xml:space="preserve">4) Údaje o skupine účtovných jednotiek : účtovná jednotka nie je súčasťou konsolidovaného celku. </w:t>
      </w:r>
    </w:p>
    <w:p w14:paraId="7943C71C" w14:textId="77777777" w:rsidR="00E20791" w:rsidRDefault="00E20791" w:rsidP="00E20791">
      <w:pPr>
        <w:pStyle w:val="Default"/>
        <w:rPr>
          <w:color w:val="auto"/>
          <w:sz w:val="20"/>
          <w:szCs w:val="20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45"/>
        <w:gridCol w:w="2645"/>
        <w:gridCol w:w="2645"/>
      </w:tblGrid>
      <w:tr w:rsidR="00E20791" w14:paraId="4787EBAF" w14:textId="77777777">
        <w:trPr>
          <w:trHeight w:val="343"/>
        </w:trPr>
        <w:tc>
          <w:tcPr>
            <w:tcW w:w="264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D5B50B3" w14:textId="77777777" w:rsidR="00E20791" w:rsidRDefault="00E20791">
            <w:pPr>
              <w:pStyle w:val="Defaul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 xml:space="preserve">5) Priemerný prepočítaný počet zamestnancov spoločnosti :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264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333C8DC" w14:textId="77777777" w:rsidR="00E20791" w:rsidRDefault="00E20791">
            <w:pPr>
              <w:pStyle w:val="Default"/>
              <w:rPr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64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4AD4DA1" w14:textId="77777777" w:rsidR="00E20791" w:rsidRDefault="00E20791">
            <w:pPr>
              <w:pStyle w:val="Default"/>
              <w:rPr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E20791" w14:paraId="09A2F2A4" w14:textId="77777777">
        <w:trPr>
          <w:trHeight w:val="220"/>
        </w:trPr>
        <w:tc>
          <w:tcPr>
            <w:tcW w:w="2645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697C61" w14:textId="77777777" w:rsidR="00E20791" w:rsidRDefault="00E20791">
            <w:pPr>
              <w:pStyle w:val="Default"/>
              <w:rPr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2645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DD56CFB" w14:textId="1CB3B48A" w:rsidR="00E20791" w:rsidRDefault="00E20791">
            <w:pPr>
              <w:pStyle w:val="Default"/>
              <w:rPr>
                <w:rFonts w:ascii="Calibri" w:hAnsi="Calibri" w:cs="Calibri"/>
                <w:color w:val="FF000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auto"/>
                <w:sz w:val="20"/>
                <w:szCs w:val="20"/>
              </w:rPr>
              <w:t>33</w:t>
            </w:r>
          </w:p>
        </w:tc>
        <w:tc>
          <w:tcPr>
            <w:tcW w:w="2645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FC2A790" w14:textId="77777777" w:rsidR="00E20791" w:rsidRDefault="00E20791">
            <w:pPr>
              <w:pStyle w:val="Defaul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35 </w:t>
            </w:r>
          </w:p>
        </w:tc>
      </w:tr>
    </w:tbl>
    <w:p w14:paraId="1B56880B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4"/>
          <w:szCs w:val="24"/>
        </w:rPr>
      </w:pPr>
    </w:p>
    <w:p w14:paraId="61ADBB67" w14:textId="33D11115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Čl. II</w:t>
      </w:r>
    </w:p>
    <w:p w14:paraId="60FB3B1A" w14:textId="768910F7" w:rsidR="00E20791" w:rsidRDefault="00E20791" w:rsidP="00E2079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Informácie o orgánoch spoločnosti</w:t>
      </w:r>
    </w:p>
    <w:p w14:paraId="1BF3414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</w:p>
    <w:p w14:paraId="211748B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Spoločnosť neposkytla príjmy a výhody členom štatutárnych dozorných a iných orgánov ÚJ.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29"/>
        <w:gridCol w:w="205"/>
        <w:gridCol w:w="1024"/>
        <w:gridCol w:w="410"/>
        <w:gridCol w:w="819"/>
        <w:gridCol w:w="615"/>
        <w:gridCol w:w="614"/>
        <w:gridCol w:w="820"/>
        <w:gridCol w:w="409"/>
        <w:gridCol w:w="1025"/>
        <w:gridCol w:w="204"/>
        <w:gridCol w:w="1230"/>
      </w:tblGrid>
      <w:tr w:rsidR="00E20791" w:rsidRPr="00E20791" w14:paraId="614970A0" w14:textId="77777777">
        <w:trPr>
          <w:trHeight w:val="403"/>
        </w:trPr>
        <w:tc>
          <w:tcPr>
            <w:tcW w:w="2868" w:type="dxa"/>
            <w:gridSpan w:val="4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54E2A8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Spoločnosť nemá pre túto časť poznámok obsahovú náplň. </w:t>
            </w: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Druh príjmu, výhody </w:t>
            </w:r>
          </w:p>
        </w:tc>
        <w:tc>
          <w:tcPr>
            <w:tcW w:w="2868" w:type="dxa"/>
            <w:gridSpan w:val="4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C2CC9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príjmu, výhody súčasných členov orgánov </w:t>
            </w:r>
          </w:p>
        </w:tc>
        <w:tc>
          <w:tcPr>
            <w:tcW w:w="2868" w:type="dxa"/>
            <w:gridSpan w:val="4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62FC29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príjmu, výhody bývalých členov orgánov </w:t>
            </w:r>
          </w:p>
        </w:tc>
      </w:tr>
      <w:tr w:rsidR="00E20791" w:rsidRPr="00E20791" w14:paraId="11894275" w14:textId="77777777">
        <w:trPr>
          <w:trHeight w:val="99"/>
        </w:trPr>
        <w:tc>
          <w:tcPr>
            <w:tcW w:w="4302" w:type="dxa"/>
            <w:gridSpan w:val="6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9728C6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 </w:t>
            </w:r>
          </w:p>
        </w:tc>
        <w:tc>
          <w:tcPr>
            <w:tcW w:w="4302" w:type="dxa"/>
            <w:gridSpan w:val="6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A823DC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C </w:t>
            </w:r>
          </w:p>
        </w:tc>
      </w:tr>
      <w:tr w:rsidR="00E20791" w:rsidRPr="00E20791" w14:paraId="5145AE00" w14:textId="77777777">
        <w:trPr>
          <w:trHeight w:val="99"/>
        </w:trPr>
        <w:tc>
          <w:tcPr>
            <w:tcW w:w="1434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9C72E5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štatutárnych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9497D0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dozorných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34F0D1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Iných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AB66CD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štatutárnych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3798DF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dozorných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94899E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Iných </w:t>
            </w:r>
          </w:p>
        </w:tc>
      </w:tr>
      <w:tr w:rsidR="00E20791" w:rsidRPr="00E20791" w14:paraId="33E63FD2" w14:textId="77777777">
        <w:trPr>
          <w:trHeight w:val="99"/>
        </w:trPr>
        <w:tc>
          <w:tcPr>
            <w:tcW w:w="4302" w:type="dxa"/>
            <w:gridSpan w:val="6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93129D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Časť 1 - Bežné účtovné obdobie </w:t>
            </w:r>
          </w:p>
        </w:tc>
        <w:tc>
          <w:tcPr>
            <w:tcW w:w="4302" w:type="dxa"/>
            <w:gridSpan w:val="6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E1EEFE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Časť 1 - Bežné účtovné obdobie </w:t>
            </w:r>
          </w:p>
        </w:tc>
      </w:tr>
      <w:tr w:rsidR="00E20791" w:rsidRPr="00E20791" w14:paraId="06BAEDAE" w14:textId="77777777">
        <w:trPr>
          <w:trHeight w:val="222"/>
        </w:trPr>
        <w:tc>
          <w:tcPr>
            <w:tcW w:w="4302" w:type="dxa"/>
            <w:gridSpan w:val="6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32B191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Časť 2 - Bezprostredne predchádzajúce účtovné obdobie </w:t>
            </w:r>
          </w:p>
        </w:tc>
        <w:tc>
          <w:tcPr>
            <w:tcW w:w="4302" w:type="dxa"/>
            <w:gridSpan w:val="6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76EF50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Časť 2 - Bezprostredne predchádzajúce účtovné obdobie </w:t>
            </w:r>
          </w:p>
        </w:tc>
      </w:tr>
      <w:tr w:rsidR="00E20791" w:rsidRPr="00E20791" w14:paraId="2A5E6014" w14:textId="77777777" w:rsidTr="00E20791">
        <w:trPr>
          <w:trHeight w:val="251"/>
        </w:trPr>
        <w:tc>
          <w:tcPr>
            <w:tcW w:w="12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C3CE169" w14:textId="0FE78E24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>Záruky a iné zabezpečen</w:t>
            </w:r>
            <w:r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>i</w:t>
            </w: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a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6A051A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68A18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C0A4EB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27A16D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0CC4DC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3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8D123F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3260F5B5" w14:textId="77777777">
        <w:trPr>
          <w:trHeight w:val="99"/>
        </w:trPr>
        <w:tc>
          <w:tcPr>
            <w:tcW w:w="1434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198977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5F76C8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00C192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B2E518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AFB5A4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7C3174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2ED9FBDE" w14:textId="77777777" w:rsidTr="00E20791">
        <w:trPr>
          <w:trHeight w:val="189"/>
        </w:trPr>
        <w:tc>
          <w:tcPr>
            <w:tcW w:w="12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CBEDE5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Pôžičky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164BBA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07F957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994C42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B34E2A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6E90BF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3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57E06D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5BB10CC5" w14:textId="77777777">
        <w:trPr>
          <w:trHeight w:val="99"/>
        </w:trPr>
        <w:tc>
          <w:tcPr>
            <w:tcW w:w="1434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BA0343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C00D1A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67847F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F6CB29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80BC34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64FBA7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4A5009A" w14:textId="77777777" w:rsidTr="00E20791">
        <w:trPr>
          <w:trHeight w:val="160"/>
        </w:trPr>
        <w:tc>
          <w:tcPr>
            <w:tcW w:w="12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243BB7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Iné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B7C365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73CE36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5ED74F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1ADBDB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153EAF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23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B6A35F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626C8C37" w14:textId="77777777">
        <w:trPr>
          <w:trHeight w:val="99"/>
        </w:trPr>
        <w:tc>
          <w:tcPr>
            <w:tcW w:w="1434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914CC7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DF3E33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061935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A5E7E4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61FEF9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143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23766B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</w:tbl>
    <w:p w14:paraId="444E523C" w14:textId="0A45D163" w:rsidR="00E20791" w:rsidRP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Čl. III</w:t>
      </w:r>
    </w:p>
    <w:p w14:paraId="0BB5A29D" w14:textId="337E84D4" w:rsid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Informácie o prijatých postupoch</w:t>
      </w:r>
    </w:p>
    <w:p w14:paraId="69AF639A" w14:textId="77777777" w:rsidR="00D519B2" w:rsidRPr="00E20791" w:rsidRDefault="00D519B2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</w:p>
    <w:p w14:paraId="522C1A34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1) Účtovná závierka bola vypracovaná v súlade so zákonom č. 431/2002 Z.z. o účtovníctve v znení neskorších predpisov a opatrením MF SR č. č. 23054/2002-92, ktorým sa ustanovujú podrobnosti o postupoch účtovania a rámcovej účtovnej osnove pre podnikateľov v znení neskorších predpisov. </w:t>
      </w:r>
    </w:p>
    <w:p w14:paraId="00F62D70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lastRenderedPageBreak/>
        <w:t xml:space="preserve">Táto účtovná závierka bola vypracovaná za predpokladu nepretržitého trvania účtovnej jednotky, t.j. vychádza z predpokladu, že spoločnosť bude realizovať svoje aktíva, záväzky a dohody v rámci riadneho chodu svojej činnosti. </w:t>
      </w:r>
    </w:p>
    <w:p w14:paraId="7F39CE6B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2) Účtovná jednotka počas účtovného obdobia roka nemenila účtovné zásady a nemenila účtovné metódy. Oproti predchádzajúcemu účtovnému obdobiu neboli uskutočnené zmeny spôsobov oceňovania, postupov účtovania, usporiadania položiek účtovnej závierky a obsahového vymedzenia týchto položiek. Dodržuje sa zásada časovej a vecnej súvislosti nákladov a výnosov. </w:t>
      </w:r>
    </w:p>
    <w:p w14:paraId="67B0C991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3) Informácia o charaktere a účele transakcií, ktoré sa neuvádzajú v súvahe : spoločnosť neeviduje transakcie neuvedené v súvahe. </w:t>
      </w:r>
    </w:p>
    <w:p w14:paraId="0431BE3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4) Spôsob oceňovania jednotlivých zložiek majetku : </w:t>
      </w:r>
    </w:p>
    <w:p w14:paraId="035BAF42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nehmotný majetok obstaraný kúpou sa oceňoval obstarávacími cenami, počas účtovného obdobia neboli aktivované úroky z cudzích zdrojov ako súčasť obstarávacích cien majetku </w:t>
      </w:r>
    </w:p>
    <w:p w14:paraId="6F5F37F0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nehmotný majetok nebol počas účtovného obdobia vytváraný vlastnou činnosťou </w:t>
      </w:r>
    </w:p>
    <w:p w14:paraId="32F1DE89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nehmotný majetok nebol počas účtovného obdobia obstaraný iným spôsobom </w:t>
      </w:r>
    </w:p>
    <w:p w14:paraId="03F2FA6D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hmotný majetok obstaraný kúpou sa oceňoval obstarávacími cenami, počas účtovného obdobia neboli aktivované úroky z cudzích zdrojov ako súčasť obstarávacích cien majetku </w:t>
      </w:r>
    </w:p>
    <w:p w14:paraId="1B7DD41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hmotný majetok nebol počas účtovného obdobia vytváraný vlastnou činnosťou </w:t>
      </w:r>
    </w:p>
    <w:p w14:paraId="453EE59A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hmotný majetok nebol počas účtovného obdobia obstaraný iným spôsobom </w:t>
      </w:r>
    </w:p>
    <w:p w14:paraId="18FB1DF6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dlhodobý finančný majetok sa počas účtovného obdobia neobstaral </w:t>
      </w:r>
    </w:p>
    <w:p w14:paraId="74B9381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zásoby obstarané kúpou sa oceňovali obstarávacími cenami, súčasťou obstarávacích cien bolo prepravné </w:t>
      </w:r>
    </w:p>
    <w:p w14:paraId="00AA90E6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zásoby vytvorené vlastnou činnosťou sa oceňovali vlastnými nákladmi a to priame náklady zvýšené o podiel výrobnej réžie </w:t>
      </w:r>
    </w:p>
    <w:p w14:paraId="2A856B72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zásoby neboli obstarané iným spôsobom </w:t>
      </w:r>
    </w:p>
    <w:p w14:paraId="5B77CE7A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účtovná jednotka neúčtovala o zákazkovej výrobe </w:t>
      </w:r>
    </w:p>
    <w:p w14:paraId="1E391067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pohľadávky sa ocenili menovitou hodnotou </w:t>
      </w:r>
    </w:p>
    <w:p w14:paraId="0E36F4C5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krátkodobý finančný majetok sa oceňoval nasledovne : peňažné prostriedky a ceniny sa oceňujú ich menovitou hodnotou. Cenné papiere a majetkové účasti neboli predmetom ocenenia </w:t>
      </w:r>
    </w:p>
    <w:p w14:paraId="6D58E9A1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časové rozlíšenia na strane aktív súvahy sa ocenili menovitou hodnotou </w:t>
      </w:r>
    </w:p>
    <w:p w14:paraId="0707AAF2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záväzky, vrátane rezerv sa ocenili menovitou hodnotou </w:t>
      </w:r>
    </w:p>
    <w:p w14:paraId="4C35B74B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časové rozlíšenie na strane pasív súvahy ocenili menovitou hodnotou </w:t>
      </w:r>
    </w:p>
    <w:p w14:paraId="43C5869F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o derivátoch účtovná jednotka neúčtovala </w:t>
      </w:r>
    </w:p>
    <w:p w14:paraId="0BCA5B74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majetok a záväzky neboli zabezpečené derivátmi </w:t>
      </w:r>
    </w:p>
    <w:p w14:paraId="6D2334E0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majetok obstaraný na základe zmluvy o kúpe prenajatej veci sa ocenil nominálnou hodnotou </w:t>
      </w:r>
    </w:p>
    <w:p w14:paraId="7AB05701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účtovná jednotka nenadobudla majetok v privatizácií </w:t>
      </w:r>
    </w:p>
    <w:p w14:paraId="5A06B547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- dane z príjmov splatnej za bežné účtovné obdobie a zdaňovacie obdobie a dane z príjmov odloženej do budúcich účtovných období a zdaňovacích období ocenili menovitou hodnotou. </w:t>
      </w:r>
    </w:p>
    <w:p w14:paraId="4E653EA2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Majetok a záväzky vyjadrené v cudzej mene sa ku dňu uskutočnenia účtovného prípadu prepočítavajú </w:t>
      </w:r>
    </w:p>
    <w:p w14:paraId="1D209E87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na menu euro kurzom určeným a vyhláseným Európskou centrálnou bankou alebo Národnou bankou Slovenska. </w:t>
      </w:r>
    </w:p>
    <w:p w14:paraId="076E5413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Tvorba odpisového plánu pre dlhodobý majetok : dlhodobý majetok sa zaradí do odpisovej skupiny a odpisuje sa mesačne, a to rovnomerne počas celej doby odpisovania. </w:t>
      </w:r>
    </w:p>
    <w:p w14:paraId="2E9C04C4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5) Informácia o oprave významných chýb minulých účtovných období : účtovná jednotka v bežnom účtovnom období neopravovala významné chyby minulých účtovných období. </w:t>
      </w:r>
      <w:r w:rsidRPr="00E20791">
        <w:rPr>
          <w:rFonts w:ascii="Times New Roman" w:hAnsi="Times New Roman" w:cs="Times New Roman"/>
          <w:color w:val="000000"/>
          <w:kern w:val="0"/>
          <w:sz w:val="20"/>
          <w:szCs w:val="20"/>
        </w:rPr>
        <w:t xml:space="preserve">Poznámky ÚČ PODV 3-01 IČO : 313 307 89 DIČ : 2020314802 </w:t>
      </w:r>
    </w:p>
    <w:p w14:paraId="7F31E8FA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4"/>
          <w:szCs w:val="24"/>
        </w:rPr>
      </w:pPr>
    </w:p>
    <w:p w14:paraId="38C3C611" w14:textId="088CFABE" w:rsidR="00E20791" w:rsidRPr="00E20791" w:rsidRDefault="00E20791" w:rsidP="00D519B2">
      <w:pPr>
        <w:pageBreakBefore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kern w:val="0"/>
          <w:sz w:val="20"/>
          <w:szCs w:val="20"/>
        </w:rPr>
        <w:lastRenderedPageBreak/>
        <w:t>Čl. IV</w:t>
      </w:r>
    </w:p>
    <w:p w14:paraId="49924EC5" w14:textId="2677F2AD" w:rsid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kern w:val="0"/>
          <w:sz w:val="20"/>
          <w:szCs w:val="20"/>
        </w:rPr>
        <w:t>Informácie, ktoré vysvetľujú a dopĺňajú súvahu a výkaz ziskov a</w:t>
      </w:r>
      <w:r w:rsidR="00D519B2">
        <w:rPr>
          <w:rFonts w:ascii="Arial" w:hAnsi="Arial" w:cs="Arial"/>
          <w:b/>
          <w:bCs/>
          <w:kern w:val="0"/>
          <w:sz w:val="20"/>
          <w:szCs w:val="20"/>
        </w:rPr>
        <w:t> </w:t>
      </w:r>
      <w:r w:rsidRPr="00E20791">
        <w:rPr>
          <w:rFonts w:ascii="Arial" w:hAnsi="Arial" w:cs="Arial"/>
          <w:b/>
          <w:bCs/>
          <w:kern w:val="0"/>
          <w:sz w:val="20"/>
          <w:szCs w:val="20"/>
        </w:rPr>
        <w:t>strát</w:t>
      </w:r>
    </w:p>
    <w:p w14:paraId="57AD86EF" w14:textId="77777777" w:rsidR="00D519B2" w:rsidRPr="00E20791" w:rsidRDefault="00D519B2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kern w:val="0"/>
          <w:sz w:val="20"/>
          <w:szCs w:val="20"/>
        </w:rPr>
      </w:pPr>
    </w:p>
    <w:p w14:paraId="0CE4B82E" w14:textId="72E44198" w:rsidR="00E20791" w:rsidRPr="00D519B2" w:rsidRDefault="00E20791" w:rsidP="00D519B2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0"/>
          <w:szCs w:val="20"/>
        </w:rPr>
      </w:pPr>
      <w:r w:rsidRPr="00D519B2">
        <w:rPr>
          <w:rFonts w:ascii="Calibri" w:hAnsi="Calibri" w:cs="Calibri"/>
          <w:kern w:val="0"/>
          <w:sz w:val="20"/>
          <w:szCs w:val="20"/>
        </w:rPr>
        <w:t xml:space="preserve">Dlhodobý nehmotný majetok, ktorým je goodwill alebo záporný goodwill : spoločnosť neeviduje goodwill alebo záporný goodwill. </w:t>
      </w:r>
    </w:p>
    <w:p w14:paraId="0689E35E" w14:textId="77777777" w:rsidR="00D519B2" w:rsidRPr="00D519B2" w:rsidRDefault="00D519B2" w:rsidP="00D519B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p w14:paraId="3D7A83AB" w14:textId="73A044EC" w:rsidR="00E20791" w:rsidRPr="00D519B2" w:rsidRDefault="00E20791" w:rsidP="00D519B2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kern w:val="0"/>
          <w:sz w:val="20"/>
          <w:szCs w:val="20"/>
        </w:rPr>
      </w:pPr>
      <w:r w:rsidRPr="00D519B2">
        <w:rPr>
          <w:rFonts w:ascii="Calibri" w:hAnsi="Calibri" w:cs="Calibri"/>
          <w:kern w:val="0"/>
          <w:sz w:val="20"/>
          <w:szCs w:val="20"/>
        </w:rPr>
        <w:t xml:space="preserve">Informácie o významných položkách derivátov, majetku a záväzkoch zabezpečených derivátmi : spoločnosť neeviduje deriváty, majetok a záväzky zabezpečené derivátmi. </w:t>
      </w:r>
    </w:p>
    <w:p w14:paraId="083BA7C7" w14:textId="77777777" w:rsidR="00D519B2" w:rsidRPr="00D519B2" w:rsidRDefault="00D519B2" w:rsidP="00D519B2">
      <w:pPr>
        <w:pStyle w:val="Odsekzoznamu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0"/>
          <w:sz w:val="20"/>
          <w:szCs w:val="20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1"/>
        <w:gridCol w:w="2801"/>
        <w:gridCol w:w="2801"/>
      </w:tblGrid>
      <w:tr w:rsidR="00E20791" w:rsidRPr="00E20791" w14:paraId="6DC7F1D2" w14:textId="77777777">
        <w:trPr>
          <w:trHeight w:val="343"/>
        </w:trPr>
        <w:tc>
          <w:tcPr>
            <w:tcW w:w="2801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01A117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kern w:val="0"/>
                <w:sz w:val="20"/>
                <w:szCs w:val="20"/>
              </w:rPr>
              <w:t xml:space="preserve">3) Informácie o záväzkoch : </w:t>
            </w: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Názov položky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31D9E2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248614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E20791" w:rsidRPr="00E20791" w14:paraId="524A09D4" w14:textId="77777777">
        <w:trPr>
          <w:trHeight w:val="99"/>
        </w:trPr>
        <w:tc>
          <w:tcPr>
            <w:tcW w:w="2801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A95051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F2253E" w14:textId="7AF9DC31" w:rsidR="00E20791" w:rsidRPr="00E20791" w:rsidRDefault="00D519B2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</w:pPr>
            <w:r w:rsidRPr="00D519B2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>8 674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18B9118" w14:textId="40D27B8C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>1</w:t>
            </w:r>
            <w:r w:rsidR="00D519B2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>0 573</w:t>
            </w:r>
          </w:p>
        </w:tc>
      </w:tr>
      <w:tr w:rsidR="00E20791" w:rsidRPr="00E20791" w14:paraId="40B9824E" w14:textId="77777777">
        <w:trPr>
          <w:trHeight w:val="220"/>
        </w:trPr>
        <w:tc>
          <w:tcPr>
            <w:tcW w:w="2801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D67E81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Záväzky so zostatkovou dobou splatnosti nad päť rokov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640F2D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4B1B6A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322A36E5" w14:textId="77777777">
        <w:trPr>
          <w:trHeight w:val="222"/>
        </w:trPr>
        <w:tc>
          <w:tcPr>
            <w:tcW w:w="2801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7C8CF6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Záväzky so zostatkovou dobou splatnosti jeden rok až päť rokov 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DC9F09E" w14:textId="7214D73F" w:rsidR="00E20791" w:rsidRPr="00E20791" w:rsidRDefault="00D519B2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</w:pPr>
            <w:r w:rsidRPr="00D519B2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>8 674</w:t>
            </w:r>
          </w:p>
        </w:tc>
        <w:tc>
          <w:tcPr>
            <w:tcW w:w="2801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720D8CF" w14:textId="7483DEEB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10 </w:t>
            </w:r>
            <w:r w:rsidR="00D519B2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>573</w:t>
            </w:r>
          </w:p>
        </w:tc>
      </w:tr>
    </w:tbl>
    <w:p w14:paraId="1E3CB274" w14:textId="77777777" w:rsid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Suma zabezpečených záväzkov : záväzky nie sú zabezpečené záložným právom ani nie sú zabezpečené inou formou zabezpečenia. </w:t>
      </w:r>
    </w:p>
    <w:p w14:paraId="278493A8" w14:textId="77777777" w:rsidR="00D519B2" w:rsidRPr="00E20791" w:rsidRDefault="00D519B2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p w14:paraId="0FE731B0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4) Informácie o vlastných akciách : spoločnosť má podiely v iných účtovných jednotkách. </w:t>
      </w:r>
    </w:p>
    <w:p w14:paraId="3369DE2B" w14:textId="77777777" w:rsid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Údaje o podieloch v iných účtovných jednotkách sú uvedené v tabuľke: </w:t>
      </w:r>
    </w:p>
    <w:p w14:paraId="2D4AE62F" w14:textId="77777777" w:rsidR="00D519B2" w:rsidRPr="00E20791" w:rsidRDefault="00D519B2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46"/>
        <w:gridCol w:w="290"/>
        <w:gridCol w:w="434"/>
        <w:gridCol w:w="722"/>
        <w:gridCol w:w="580"/>
        <w:gridCol w:w="868"/>
        <w:gridCol w:w="868"/>
        <w:gridCol w:w="578"/>
        <w:gridCol w:w="724"/>
        <w:gridCol w:w="434"/>
        <w:gridCol w:w="288"/>
        <w:gridCol w:w="1448"/>
      </w:tblGrid>
      <w:tr w:rsidR="00E20791" w:rsidRPr="00E20791" w14:paraId="1AFE07AA" w14:textId="77777777">
        <w:trPr>
          <w:trHeight w:val="651"/>
        </w:trPr>
        <w:tc>
          <w:tcPr>
            <w:tcW w:w="4340" w:type="dxa"/>
            <w:gridSpan w:val="6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7CD80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Štruktúra dlhodobého finančného majetku: Obchodné meno a sídlo spoločnosti, v ktorej má ÚJ umiestnený DFM </w:t>
            </w:r>
          </w:p>
        </w:tc>
        <w:tc>
          <w:tcPr>
            <w:tcW w:w="4340" w:type="dxa"/>
            <w:gridSpan w:val="6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3799961" w14:textId="24928965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</w:tr>
      <w:tr w:rsidR="00E20791" w:rsidRPr="00E20791" w14:paraId="43D6E53B" w14:textId="77777777">
        <w:trPr>
          <w:trHeight w:val="710"/>
        </w:trPr>
        <w:tc>
          <w:tcPr>
            <w:tcW w:w="1736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E78CE1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Podiel ÚJ na ZI v % </w:t>
            </w:r>
          </w:p>
        </w:tc>
        <w:tc>
          <w:tcPr>
            <w:tcW w:w="173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B8801B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Podiel na hlasovacích právach v % </w:t>
            </w:r>
          </w:p>
        </w:tc>
        <w:tc>
          <w:tcPr>
            <w:tcW w:w="1736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BB6480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Hodnota vlastného imania ÚJ, v ktorej má ÚJ umiestnený DFM </w:t>
            </w:r>
          </w:p>
        </w:tc>
        <w:tc>
          <w:tcPr>
            <w:tcW w:w="173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AF72FF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Výsledok hospodárenia ÚJ, v ktorej má ÚJ umiestnený DFM </w:t>
            </w:r>
          </w:p>
        </w:tc>
        <w:tc>
          <w:tcPr>
            <w:tcW w:w="1736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7F8836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Účtovná hodnota DFM </w:t>
            </w:r>
          </w:p>
        </w:tc>
      </w:tr>
      <w:tr w:rsidR="00E20791" w:rsidRPr="00E20791" w14:paraId="5F41F444" w14:textId="77777777" w:rsidTr="00E20791">
        <w:trPr>
          <w:trHeight w:val="99"/>
        </w:trPr>
        <w:tc>
          <w:tcPr>
            <w:tcW w:w="1446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624F33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a </w:t>
            </w:r>
          </w:p>
        </w:tc>
        <w:tc>
          <w:tcPr>
            <w:tcW w:w="144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2930BD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b </w:t>
            </w:r>
          </w:p>
        </w:tc>
        <w:tc>
          <w:tcPr>
            <w:tcW w:w="144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E3B5F2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c </w:t>
            </w:r>
          </w:p>
        </w:tc>
        <w:tc>
          <w:tcPr>
            <w:tcW w:w="1446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6BD24D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d </w:t>
            </w:r>
          </w:p>
        </w:tc>
        <w:tc>
          <w:tcPr>
            <w:tcW w:w="144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13C351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e </w:t>
            </w:r>
          </w:p>
        </w:tc>
        <w:tc>
          <w:tcPr>
            <w:tcW w:w="1448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DCE528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f </w:t>
            </w:r>
          </w:p>
        </w:tc>
      </w:tr>
      <w:tr w:rsidR="00E20791" w:rsidRPr="00E20791" w14:paraId="672DAD8D" w14:textId="77777777">
        <w:trPr>
          <w:trHeight w:val="99"/>
        </w:trPr>
        <w:tc>
          <w:tcPr>
            <w:tcW w:w="8680" w:type="dxa"/>
            <w:gridSpan w:val="12"/>
            <w:tcBorders>
              <w:top w:val="none" w:sz="6" w:space="0" w:color="auto"/>
              <w:bottom w:val="none" w:sz="6" w:space="0" w:color="auto"/>
            </w:tcBorders>
          </w:tcPr>
          <w:p w14:paraId="0044B70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Dcérske účtovné jednotky </w:t>
            </w:r>
          </w:p>
        </w:tc>
      </w:tr>
      <w:tr w:rsidR="00E20791" w:rsidRPr="00E20791" w14:paraId="5521B19D" w14:textId="77777777">
        <w:trPr>
          <w:trHeight w:val="99"/>
        </w:trPr>
        <w:tc>
          <w:tcPr>
            <w:tcW w:w="8680" w:type="dxa"/>
            <w:gridSpan w:val="12"/>
            <w:tcBorders>
              <w:top w:val="none" w:sz="6" w:space="0" w:color="auto"/>
              <w:bottom w:val="none" w:sz="6" w:space="0" w:color="auto"/>
            </w:tcBorders>
          </w:tcPr>
          <w:p w14:paraId="5E67F4A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Účtovné jednotky s podstatným vplyvom </w:t>
            </w:r>
          </w:p>
        </w:tc>
      </w:tr>
      <w:tr w:rsidR="00E20791" w:rsidRPr="00E20791" w14:paraId="1D886F09" w14:textId="77777777">
        <w:trPr>
          <w:trHeight w:val="99"/>
        </w:trPr>
        <w:tc>
          <w:tcPr>
            <w:tcW w:w="2170" w:type="dxa"/>
            <w:gridSpan w:val="3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8A7B30C" w14:textId="4F8B889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70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48C9320" w14:textId="1CD6D52E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70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FF4FC34" w14:textId="4B701655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170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47C3EF8" w14:textId="04DC0CA4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</w:tr>
      <w:tr w:rsidR="00E20791" w:rsidRPr="00E20791" w14:paraId="4370CDC7" w14:textId="77777777">
        <w:trPr>
          <w:trHeight w:val="99"/>
        </w:trPr>
        <w:tc>
          <w:tcPr>
            <w:tcW w:w="8680" w:type="dxa"/>
            <w:gridSpan w:val="12"/>
            <w:tcBorders>
              <w:top w:val="none" w:sz="6" w:space="0" w:color="auto"/>
              <w:bottom w:val="none" w:sz="6" w:space="0" w:color="auto"/>
            </w:tcBorders>
          </w:tcPr>
          <w:p w14:paraId="161875E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Ostatné realizovateľné CP a podiely </w:t>
            </w:r>
          </w:p>
        </w:tc>
      </w:tr>
      <w:tr w:rsidR="00E20791" w:rsidRPr="00E20791" w14:paraId="7E1E0E59" w14:textId="77777777">
        <w:trPr>
          <w:trHeight w:val="99"/>
        </w:trPr>
        <w:tc>
          <w:tcPr>
            <w:tcW w:w="8680" w:type="dxa"/>
            <w:gridSpan w:val="12"/>
            <w:tcBorders>
              <w:top w:val="none" w:sz="6" w:space="0" w:color="auto"/>
              <w:bottom w:val="none" w:sz="6" w:space="0" w:color="auto"/>
            </w:tcBorders>
          </w:tcPr>
          <w:p w14:paraId="59932C7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Obstarávaný DFM na účely vykonania vplyvu v inej ÚJ </w:t>
            </w:r>
          </w:p>
        </w:tc>
      </w:tr>
      <w:tr w:rsidR="00E20791" w:rsidRPr="00E20791" w14:paraId="75C7532B" w14:textId="77777777" w:rsidTr="00E20791">
        <w:trPr>
          <w:trHeight w:val="99"/>
        </w:trPr>
        <w:tc>
          <w:tcPr>
            <w:tcW w:w="1446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21957D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DFM spolu: </w:t>
            </w:r>
          </w:p>
        </w:tc>
        <w:tc>
          <w:tcPr>
            <w:tcW w:w="144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14C393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x </w:t>
            </w:r>
          </w:p>
        </w:tc>
        <w:tc>
          <w:tcPr>
            <w:tcW w:w="144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43B9F7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x </w:t>
            </w:r>
          </w:p>
        </w:tc>
        <w:tc>
          <w:tcPr>
            <w:tcW w:w="1446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E62543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x </w:t>
            </w:r>
          </w:p>
        </w:tc>
        <w:tc>
          <w:tcPr>
            <w:tcW w:w="1446" w:type="dxa"/>
            <w:gridSpan w:val="3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D45335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x </w:t>
            </w:r>
          </w:p>
        </w:tc>
        <w:tc>
          <w:tcPr>
            <w:tcW w:w="1448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2D08D3D" w14:textId="5C5C39E4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</w:p>
        </w:tc>
      </w:tr>
    </w:tbl>
    <w:p w14:paraId="0726C436" w14:textId="77777777" w:rsid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5) Informácia o sume a dôvodoch vzniku jednotlivých položiek nákladov alebo výnosov, ktoré majú výnimočný rozsah alebo výskyt : spoločnosť neeviduje takéto položky. </w:t>
      </w:r>
    </w:p>
    <w:p w14:paraId="2881E372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p w14:paraId="7541FE6A" w14:textId="5925BD30" w:rsidR="00E20791" w:rsidRP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Čl. V</w:t>
      </w:r>
    </w:p>
    <w:p w14:paraId="7FCA2E8D" w14:textId="17D7C0B8" w:rsid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Informácie o iných aktívach a iných pasívach</w:t>
      </w:r>
    </w:p>
    <w:p w14:paraId="762DBB58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p w14:paraId="0A68D5C8" w14:textId="00078F4E" w:rsidR="00E20791" w:rsidRPr="00E20791" w:rsidRDefault="00E20791" w:rsidP="00E2079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Informácie o iných aktívach a iných pasívach : spoločnosť neeviduje iné aktíva a pasíva okrem tých, ktoré sú uvedené v súvahe. </w:t>
      </w:r>
    </w:p>
    <w:p w14:paraId="6518B5E9" w14:textId="77777777" w:rsidR="00E20791" w:rsidRPr="00E20791" w:rsidRDefault="00E20791" w:rsidP="00E20791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p w14:paraId="72DE0530" w14:textId="4E3D6853" w:rsidR="00E20791" w:rsidRPr="00E20791" w:rsidRDefault="00E20791" w:rsidP="00E2079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Spoločnosť nevykazuje žiadne iné finančné povinnosti okrem tých, ktoré sú vykázané v súvahe. </w:t>
      </w:r>
    </w:p>
    <w:p w14:paraId="2067EEB5" w14:textId="77777777" w:rsidR="00E20791" w:rsidRPr="00E20791" w:rsidRDefault="00E20791" w:rsidP="00E20791">
      <w:pPr>
        <w:pStyle w:val="Odsekzoznamu"/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0"/>
        <w:gridCol w:w="2870"/>
        <w:gridCol w:w="2870"/>
      </w:tblGrid>
      <w:tr w:rsidR="00E20791" w:rsidRPr="00E20791" w14:paraId="658C8857" w14:textId="77777777">
        <w:trPr>
          <w:trHeight w:val="344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A79F0B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Podmienený majetok </w:t>
            </w: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Druh podmieneného majetku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3151E2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Bežné účtovné obdobie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C32D7C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E20791" w:rsidRPr="00E20791" w14:paraId="1F20903D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B57616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zo servisných zmlúv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240603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AB7255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2C52763A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F4A43E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 poistných zmlúv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F1B192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D9FF3A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6722B2FD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28E69F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 koncesionárskych zmlúv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C83C28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5C9BB4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25A2485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9397B1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 licenčných zmlúv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D33D96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928192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F57D20B" w14:textId="77777777">
        <w:trPr>
          <w:trHeight w:val="222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2737C81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 investovania prostriedkov získaných oslobodením od dane z príjmov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035ED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65B159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360C8D4C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721AC7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lastRenderedPageBreak/>
              <w:t xml:space="preserve">Práva z privatizácie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E21B1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A36DEC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DFDFC2E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A9567C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Práva zo súdnych sporov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0BA84C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E85619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5AE0D46E" w14:textId="77777777">
        <w:trPr>
          <w:trHeight w:val="99"/>
        </w:trPr>
        <w:tc>
          <w:tcPr>
            <w:tcW w:w="2870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3C0432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Iné práva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71DC41B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70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9D13B6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</w:tbl>
    <w:p w14:paraId="1D013B9B" w14:textId="77777777" w:rsidR="000E0F92" w:rsidRDefault="000E0F92"/>
    <w:p w14:paraId="7CC4752E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Podmienené záväzky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29"/>
        <w:gridCol w:w="1414"/>
        <w:gridCol w:w="1415"/>
        <w:gridCol w:w="2829"/>
      </w:tblGrid>
      <w:tr w:rsidR="00E20791" w:rsidRPr="00E20791" w14:paraId="67BDD410" w14:textId="77777777">
        <w:trPr>
          <w:trHeight w:val="229"/>
        </w:trPr>
        <w:tc>
          <w:tcPr>
            <w:tcW w:w="4243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D062C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Tabuľka č. 1 </w:t>
            </w: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Druh podmieneného záväzku </w:t>
            </w:r>
          </w:p>
        </w:tc>
        <w:tc>
          <w:tcPr>
            <w:tcW w:w="4243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069D93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Bežné účtovné obdobie </w:t>
            </w:r>
          </w:p>
        </w:tc>
      </w:tr>
      <w:tr w:rsidR="00E20791" w:rsidRPr="00E20791" w14:paraId="49080416" w14:textId="77777777">
        <w:trPr>
          <w:trHeight w:val="220"/>
        </w:trPr>
        <w:tc>
          <w:tcPr>
            <w:tcW w:w="4243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87D4A8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celkom </w:t>
            </w:r>
          </w:p>
        </w:tc>
        <w:tc>
          <w:tcPr>
            <w:tcW w:w="4243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79A1A37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voči spriazneným osobám </w:t>
            </w:r>
          </w:p>
        </w:tc>
      </w:tr>
      <w:tr w:rsidR="00E20791" w:rsidRPr="00E20791" w14:paraId="3CCC60B5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5391985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súdnych rozhodnutí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38DD4A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323504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4DA1046A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7A6C53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 poskytnutých záruk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3E8911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C121AF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5B1E33CA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3476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všeobecne záväzných právnych predpisov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B47F02D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1D59E1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3F6AA806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0B5B40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zmluvy o podriadenom záväzku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5C7929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44F408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7EC70AD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9BCBE2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 ručenia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8D6CA8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325B06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445D7CC8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4AB64DA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Iné podmienené záväzky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E48EE6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6EEE3B1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</w:tbl>
    <w:p w14:paraId="5863FF22" w14:textId="77777777" w:rsidR="00E20791" w:rsidRDefault="00E20791"/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29"/>
        <w:gridCol w:w="1414"/>
        <w:gridCol w:w="1415"/>
        <w:gridCol w:w="2829"/>
      </w:tblGrid>
      <w:tr w:rsidR="00E20791" w:rsidRPr="00E20791" w14:paraId="1A33A627" w14:textId="77777777" w:rsidTr="00E20791">
        <w:trPr>
          <w:trHeight w:val="229"/>
        </w:trPr>
        <w:tc>
          <w:tcPr>
            <w:tcW w:w="4243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05A1CE8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Tabuľka č. 2 </w:t>
            </w: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Druh podmieneného záväzku </w:t>
            </w:r>
          </w:p>
        </w:tc>
        <w:tc>
          <w:tcPr>
            <w:tcW w:w="424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B7DF52E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E20791" w:rsidRPr="00E20791" w14:paraId="65FEEC9D" w14:textId="77777777" w:rsidTr="00E20791">
        <w:trPr>
          <w:trHeight w:val="222"/>
        </w:trPr>
        <w:tc>
          <w:tcPr>
            <w:tcW w:w="4243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A79E1BC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celkom </w:t>
            </w:r>
          </w:p>
        </w:tc>
        <w:tc>
          <w:tcPr>
            <w:tcW w:w="424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40D5D2A5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b/>
                <w:bCs/>
                <w:color w:val="000000"/>
                <w:kern w:val="0"/>
                <w:sz w:val="20"/>
                <w:szCs w:val="20"/>
              </w:rPr>
              <w:t xml:space="preserve">Hodnota voči spriazneným osobám </w:t>
            </w:r>
          </w:p>
        </w:tc>
      </w:tr>
      <w:tr w:rsidR="00E20791" w:rsidRPr="00E20791" w14:paraId="6E0C49E9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FC839B8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súdnych rozhodnutí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F5B3D42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A49D8B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7F8367F8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87C508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 poskytnutých záruk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042A1FA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F0C8CD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48356B28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6F3895D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všeobecne záväzných právnych predpisov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8D87586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21869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0DA45E52" w14:textId="77777777">
        <w:trPr>
          <w:trHeight w:val="99"/>
        </w:trPr>
        <w:tc>
          <w:tcPr>
            <w:tcW w:w="2829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445CB3A0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Zo zmluvy o podriadenom záväzku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363CFA7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1721FAEF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42CBB8EC" w14:textId="77777777" w:rsidTr="00E20791">
        <w:trPr>
          <w:trHeight w:val="99"/>
        </w:trPr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097F124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Z ručenia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00AB39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5979213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  <w:tr w:rsidR="00E20791" w:rsidRPr="00E20791" w14:paraId="164EF000" w14:textId="77777777" w:rsidTr="00E20791">
        <w:trPr>
          <w:trHeight w:val="99"/>
        </w:trPr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C81FD4B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Iné podmienené záväzky </w:t>
            </w:r>
          </w:p>
        </w:tc>
        <w:tc>
          <w:tcPr>
            <w:tcW w:w="2829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1DEEBA1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  <w:tc>
          <w:tcPr>
            <w:tcW w:w="2829" w:type="dxa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00260F9" w14:textId="77777777" w:rsidR="00E20791" w:rsidRPr="00E20791" w:rsidRDefault="00E20791" w:rsidP="00E20791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</w:pPr>
            <w:r w:rsidRPr="00E20791">
              <w:rPr>
                <w:rFonts w:ascii="Calibri" w:hAnsi="Calibri" w:cs="Calibri"/>
                <w:color w:val="000000"/>
                <w:kern w:val="0"/>
                <w:sz w:val="20"/>
                <w:szCs w:val="20"/>
              </w:rPr>
              <w:t xml:space="preserve">- </w:t>
            </w:r>
          </w:p>
        </w:tc>
      </w:tr>
    </w:tbl>
    <w:p w14:paraId="75294B1F" w14:textId="77777777" w:rsidR="00E20791" w:rsidRDefault="00E20791"/>
    <w:p w14:paraId="4EB4ECD2" w14:textId="77777777" w:rsidR="00D519B2" w:rsidRDefault="00D519B2"/>
    <w:p w14:paraId="0072DBBC" w14:textId="77777777" w:rsidR="00D519B2" w:rsidRDefault="00D519B2"/>
    <w:p w14:paraId="134B4701" w14:textId="77777777" w:rsidR="00D519B2" w:rsidRDefault="00D519B2"/>
    <w:p w14:paraId="28CB6062" w14:textId="4B0903FF" w:rsidR="00E20791" w:rsidRP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Čl. VI</w:t>
      </w:r>
    </w:p>
    <w:p w14:paraId="1D3D5BBB" w14:textId="33EB2D79" w:rsid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Udalosti, ktoré nastali po dni, ku ktorému sa zostavuje účtovná závierka</w:t>
      </w:r>
    </w:p>
    <w:p w14:paraId="01A2B4EC" w14:textId="77777777" w:rsidR="00D519B2" w:rsidRPr="00E20791" w:rsidRDefault="00D519B2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</w:p>
    <w:p w14:paraId="55F4DD63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a) Pokles alebo zvýšenie trhovej ceny finančného majetku ako dôsledok udalostí, ktoré nastali po dni, ku ktorému sa zostavuje účtovná závierka do dňa zostavenia účtovnej závierky, s uvedením dôvodu týchto zmien : účtovná jednotka nevlastní krátkodobý finančný majetok. </w:t>
      </w:r>
    </w:p>
    <w:p w14:paraId="2DDE119B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b) Dôvodoch pre zmenu výšky rezerv a opravných položiek, ktoré nastali v dôsledku udalosti po dni, ku ktorému sa zostavuje účtovná závierka do dňa zostavenia účtovnej závierky : nenastali žiadne významné skutočnosti, ktoré by ovplyvnili výšku rezerv a opravných položiek. </w:t>
      </w:r>
    </w:p>
    <w:p w14:paraId="3B563DB4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c) Zmene spoločníkov účtovnej jednotky : vlastnícke práva sa v účtovnej jednotke počas tohto obdobia nezmenili. </w:t>
      </w:r>
    </w:p>
    <w:p w14:paraId="7689E66C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d) Prijatie rozhodnutia o predaji účtovnej jednotky alebo jej časti : nebolo prijaté rozhodnutie o predaji účtovnej jednotky alebo jej časti. </w:t>
      </w:r>
    </w:p>
    <w:p w14:paraId="2359BABE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e) Zmeny významných položiek dlhodobého finančného majetku : účtovná jednotka nevykázala žiadne zmeny v dlhodobom finančnom majetku. </w:t>
      </w:r>
    </w:p>
    <w:p w14:paraId="445DC817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f) Začatie alebo ukončenie činnosti časti účtovnej jednotky, napríklad odštepného závodu, organizačnej zložky, prevádzkarne : nebolo začaté ani nebola ukončená činnosť žiadnej časti účtovnej jednotky. </w:t>
      </w:r>
    </w:p>
    <w:p w14:paraId="5CD1F59E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g) Vydanie dlhopisov a iných cenných papierov : účtovná jednotka nevydala dlhopisy ani iné cenné papiere. </w:t>
      </w:r>
    </w:p>
    <w:p w14:paraId="7DC89160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h) Zlúčenie, splynutie, rozdelenie a zmena právnej formy účtovnej jednotky : účtovná jednotka sa nezlúčila, nesplynula, nerozdelila a ani nezmenila právnu formu. </w:t>
      </w:r>
    </w:p>
    <w:p w14:paraId="127E0E0F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t xml:space="preserve">i) Mimoriadne udalosti, ak majú vplyv na hospodárenie účtovnej jednotky, napríklad živelná pohroma : nenastali žiadne mimoriadne udalosti, ktoré by mali vplyv na hospodárenie účtovnej jednotky. </w:t>
      </w:r>
    </w:p>
    <w:p w14:paraId="08EE046F" w14:textId="77777777" w:rsid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  <w:kern w:val="0"/>
          <w:sz w:val="20"/>
          <w:szCs w:val="20"/>
        </w:rPr>
      </w:pPr>
      <w:r w:rsidRPr="00E20791">
        <w:rPr>
          <w:rFonts w:ascii="Calibri" w:hAnsi="Calibri" w:cs="Calibri"/>
          <w:color w:val="000000"/>
          <w:kern w:val="0"/>
          <w:sz w:val="20"/>
          <w:szCs w:val="20"/>
        </w:rPr>
        <w:lastRenderedPageBreak/>
        <w:t xml:space="preserve">j) Získanie alebo odobratie licencie alebo iných povolení významných pre činnosť účtovnej jednotky : účtovná jednotka nezískala licenciu ani jej nebola odobratá licencia alebo iné povolenie významné pre činnosť. </w:t>
      </w:r>
    </w:p>
    <w:p w14:paraId="03A55B63" w14:textId="77777777" w:rsidR="00E20791" w:rsidRPr="00E20791" w:rsidRDefault="00E20791" w:rsidP="00E2079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kern w:val="0"/>
          <w:sz w:val="20"/>
          <w:szCs w:val="20"/>
        </w:rPr>
      </w:pPr>
    </w:p>
    <w:p w14:paraId="2E2CC588" w14:textId="49EFB433" w:rsidR="00E20791" w:rsidRP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Čl. VII</w:t>
      </w:r>
    </w:p>
    <w:p w14:paraId="06A2B685" w14:textId="0BE0E345" w:rsidR="00E20791" w:rsidRDefault="00E20791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kern w:val="0"/>
          <w:sz w:val="20"/>
          <w:szCs w:val="20"/>
        </w:rPr>
      </w:pPr>
      <w:r w:rsidRPr="00E20791">
        <w:rPr>
          <w:rFonts w:ascii="Arial" w:hAnsi="Arial" w:cs="Arial"/>
          <w:b/>
          <w:bCs/>
          <w:color w:val="000000"/>
          <w:kern w:val="0"/>
          <w:sz w:val="20"/>
          <w:szCs w:val="20"/>
        </w:rPr>
        <w:t>Ostatné informácie</w:t>
      </w:r>
    </w:p>
    <w:p w14:paraId="15F4A55F" w14:textId="77777777" w:rsidR="00D519B2" w:rsidRPr="00E20791" w:rsidRDefault="00D519B2" w:rsidP="00D519B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kern w:val="0"/>
          <w:sz w:val="20"/>
          <w:szCs w:val="20"/>
        </w:rPr>
      </w:pPr>
    </w:p>
    <w:p w14:paraId="7B9D92FE" w14:textId="2EDC6597" w:rsidR="00D519B2" w:rsidRDefault="00522A8C">
      <w:r>
        <w:rPr>
          <w:rFonts w:ascii="Calibri" w:hAnsi="Calibri" w:cs="Calibri"/>
          <w:color w:val="000000"/>
          <w:kern w:val="0"/>
          <w:sz w:val="20"/>
          <w:szCs w:val="20"/>
        </w:rPr>
        <w:t>Pre túto časť poznámok nemá spoločnosť obsahovú náplň.</w:t>
      </w:r>
    </w:p>
    <w:sectPr w:rsidR="00D51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DC2106"/>
    <w:multiLevelType w:val="hybridMultilevel"/>
    <w:tmpl w:val="F132AAF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E16B1D"/>
    <w:multiLevelType w:val="hybridMultilevel"/>
    <w:tmpl w:val="C2DCFBF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3186751">
    <w:abstractNumId w:val="0"/>
  </w:num>
  <w:num w:numId="2" w16cid:durableId="11645909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791"/>
    <w:rsid w:val="000E0F92"/>
    <w:rsid w:val="00522A8C"/>
    <w:rsid w:val="00B63599"/>
    <w:rsid w:val="00D519B2"/>
    <w:rsid w:val="00E20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73B54"/>
  <w15:chartTrackingRefBased/>
  <w15:docId w15:val="{4E7841E4-52A6-401F-B0B5-2867CF24F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2079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Odsekzoznamu">
    <w:name w:val="List Paragraph"/>
    <w:basedOn w:val="Normlny"/>
    <w:uiPriority w:val="34"/>
    <w:qFormat/>
    <w:rsid w:val="00E207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5</Pages>
  <Words>1555</Words>
  <Characters>8868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uctaren</dc:creator>
  <cp:keywords/>
  <dc:description/>
  <cp:lastModifiedBy>uctaren</cp:lastModifiedBy>
  <cp:revision>2</cp:revision>
  <dcterms:created xsi:type="dcterms:W3CDTF">2024-03-04T13:31:00Z</dcterms:created>
  <dcterms:modified xsi:type="dcterms:W3CDTF">2024-03-27T08:41:00Z</dcterms:modified>
</cp:coreProperties>
</file>