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3"/>
      </w:pPr>
    </w:p>
    <w:p>
      <w:pPr>
        <w:pStyle w:val="13"/>
        <w:rPr>
          <w:sz w:val="22"/>
          <w:szCs w:val="22"/>
        </w:rPr>
      </w:pPr>
      <w:r>
        <w:t xml:space="preserve"> </w:t>
      </w:r>
      <w:r>
        <w:rPr>
          <w:sz w:val="22"/>
          <w:szCs w:val="22"/>
        </w:rPr>
        <w:t xml:space="preserve">Poznámky OZIM s.r.o.                   IČO: 54821193                          DIČ:2121817731 </w:t>
      </w:r>
    </w:p>
    <w:p>
      <w:pPr>
        <w:pStyle w:val="13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 </w:t>
      </w:r>
    </w:p>
    <w:p>
      <w:pPr>
        <w:pStyle w:val="13"/>
        <w:rPr>
          <w:color w:val="auto"/>
          <w:sz w:val="22"/>
          <w:szCs w:val="22"/>
        </w:rPr>
      </w:pPr>
    </w:p>
    <w:p>
      <w:pPr>
        <w:pStyle w:val="13"/>
        <w:rPr>
          <w:b/>
          <w:bCs/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 xml:space="preserve">Všeobecné údaje </w:t>
      </w:r>
    </w:p>
    <w:p>
      <w:pPr>
        <w:pStyle w:val="13"/>
        <w:rPr>
          <w:color w:val="auto"/>
          <w:sz w:val="22"/>
          <w:szCs w:val="22"/>
        </w:rPr>
      </w:pPr>
    </w:p>
    <w:p>
      <w:pPr>
        <w:pStyle w:val="13"/>
        <w:rPr>
          <w:b/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Názov účtovnej jednotky: </w:t>
      </w:r>
      <w:r>
        <w:rPr>
          <w:b/>
          <w:color w:val="auto"/>
          <w:sz w:val="28"/>
          <w:szCs w:val="28"/>
        </w:rPr>
        <w:t>OZIM, s.r.o.</w:t>
      </w:r>
    </w:p>
    <w:p>
      <w:pPr>
        <w:pStyle w:val="13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 </w:t>
      </w:r>
    </w:p>
    <w:p>
      <w:pPr>
        <w:pStyle w:val="13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Zapísaná do Obchodného registra  Okresného súdu Bratislava I, oddiel s.r.o., vložka číslo 164006/B,  </w:t>
      </w:r>
    </w:p>
    <w:p>
      <w:pPr>
        <w:pStyle w:val="13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dňa 30.09.2022</w:t>
      </w:r>
    </w:p>
    <w:p>
      <w:pPr>
        <w:pStyle w:val="13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Štatutárny orgán: Oliver Zima, vznik funkcie od 30.09.2022</w:t>
      </w:r>
    </w:p>
    <w:p>
      <w:pPr>
        <w:pStyle w:val="13"/>
        <w:rPr>
          <w:color w:val="auto"/>
          <w:sz w:val="22"/>
          <w:szCs w:val="22"/>
        </w:rPr>
      </w:pPr>
    </w:p>
    <w:p>
      <w:pPr>
        <w:pStyle w:val="13"/>
        <w:spacing w:after="2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Účtovná jednotka nemá zamestnancov. </w:t>
      </w:r>
    </w:p>
    <w:p>
      <w:pPr>
        <w:pStyle w:val="13"/>
        <w:rPr>
          <w:color w:val="auto"/>
          <w:sz w:val="22"/>
          <w:szCs w:val="22"/>
        </w:rPr>
      </w:pPr>
    </w:p>
    <w:p>
      <w:pPr>
        <w:pStyle w:val="13"/>
        <w:rPr>
          <w:color w:val="auto"/>
          <w:sz w:val="22"/>
          <w:szCs w:val="22"/>
        </w:rPr>
      </w:pPr>
    </w:p>
    <w:p>
      <w:pPr>
        <w:pStyle w:val="13"/>
        <w:rPr>
          <w:b/>
          <w:bCs/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 xml:space="preserve">Informácie o prijatých postupoch </w:t>
      </w:r>
    </w:p>
    <w:p>
      <w:pPr>
        <w:pStyle w:val="13"/>
        <w:rPr>
          <w:color w:val="auto"/>
          <w:sz w:val="22"/>
          <w:szCs w:val="22"/>
        </w:rPr>
      </w:pPr>
    </w:p>
    <w:p>
      <w:pPr>
        <w:pStyle w:val="13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Účtovná závierka je zostavená  k 31.12.202</w:t>
      </w:r>
      <w:r>
        <w:rPr>
          <w:rFonts w:hint="default"/>
          <w:color w:val="auto"/>
          <w:sz w:val="22"/>
          <w:szCs w:val="22"/>
          <w:lang w:val="sk-SK"/>
        </w:rPr>
        <w:t>3</w:t>
      </w:r>
      <w:r>
        <w:rPr>
          <w:color w:val="auto"/>
          <w:sz w:val="22"/>
          <w:szCs w:val="22"/>
        </w:rPr>
        <w:t xml:space="preserve"> za účtovné obdobie rok 202</w:t>
      </w:r>
      <w:r>
        <w:rPr>
          <w:rFonts w:hint="default"/>
          <w:color w:val="auto"/>
          <w:sz w:val="22"/>
          <w:szCs w:val="22"/>
          <w:lang w:val="sk-SK"/>
        </w:rPr>
        <w:t>3</w:t>
      </w:r>
      <w:r>
        <w:rPr>
          <w:color w:val="auto"/>
          <w:sz w:val="22"/>
          <w:szCs w:val="22"/>
        </w:rPr>
        <w:t xml:space="preserve"> a ÚJ bude nepretržite pokračovať vo svojej činnosti..</w:t>
      </w:r>
    </w:p>
    <w:p>
      <w:pPr>
        <w:pStyle w:val="13"/>
        <w:rPr>
          <w:color w:val="auto"/>
          <w:sz w:val="22"/>
          <w:szCs w:val="22"/>
        </w:rPr>
      </w:pPr>
    </w:p>
    <w:p>
      <w:pPr>
        <w:pStyle w:val="13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Účtovná jednotka neúčtuje o nehmotnom ani dlhodobom hmotnom majetku a ani o dlhodobom finančnom majetku.</w:t>
      </w:r>
    </w:p>
    <w:p>
      <w:pPr>
        <w:pStyle w:val="13"/>
        <w:rPr>
          <w:color w:val="auto"/>
          <w:sz w:val="22"/>
          <w:szCs w:val="22"/>
        </w:rPr>
      </w:pPr>
    </w:p>
    <w:p>
      <w:pPr>
        <w:pStyle w:val="13"/>
        <w:spacing w:after="2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Spôsob oceňovania jednotlivých položiek pohľadávok a záväzkov, a to </w:t>
      </w:r>
    </w:p>
    <w:p>
      <w:pPr>
        <w:pStyle w:val="13"/>
        <w:spacing w:after="2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a) pohľadávok - </w:t>
      </w:r>
      <w:r>
        <w:rPr>
          <w:sz w:val="22"/>
          <w:szCs w:val="22"/>
        </w:rPr>
        <w:t>ku dňu uskutočnenia účtovného prípadu sa</w:t>
      </w:r>
      <w:r>
        <w:rPr>
          <w:color w:val="auto"/>
          <w:sz w:val="22"/>
          <w:szCs w:val="22"/>
        </w:rPr>
        <w:t xml:space="preserve"> pohľadávky oceňujú menovitou hodnotou</w:t>
      </w:r>
    </w:p>
    <w:p>
      <w:pPr>
        <w:pStyle w:val="13"/>
        <w:spacing w:after="2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záväzkov vrátane rezerv - </w:t>
      </w:r>
      <w:r>
        <w:rPr>
          <w:sz w:val="22"/>
          <w:szCs w:val="22"/>
        </w:rPr>
        <w:t>ku dňu uskutočnenia účtovného prípadu sa</w:t>
      </w:r>
      <w:r>
        <w:rPr>
          <w:color w:val="auto"/>
          <w:sz w:val="22"/>
          <w:szCs w:val="22"/>
        </w:rPr>
        <w:t xml:space="preserve"> záväzky oceňujú menovitou  </w:t>
      </w:r>
    </w:p>
    <w:p>
      <w:pPr>
        <w:pStyle w:val="13"/>
        <w:spacing w:after="2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   hodnotou</w:t>
      </w:r>
    </w:p>
    <w:p>
      <w:pPr>
        <w:pStyle w:val="13"/>
        <w:spacing w:after="27"/>
        <w:rPr>
          <w:color w:val="auto"/>
          <w:sz w:val="22"/>
          <w:szCs w:val="22"/>
        </w:rPr>
      </w:pPr>
    </w:p>
    <w:p>
      <w:pPr>
        <w:pStyle w:val="13"/>
        <w:spacing w:after="27"/>
        <w:rPr>
          <w:sz w:val="22"/>
          <w:szCs w:val="22"/>
        </w:rPr>
      </w:pPr>
      <w:r>
        <w:rPr>
          <w:sz w:val="22"/>
          <w:szCs w:val="22"/>
        </w:rPr>
        <w:t xml:space="preserve"> Zásoby obstarané kúpou: </w:t>
      </w:r>
    </w:p>
    <w:p>
      <w:pPr>
        <w:pStyle w:val="13"/>
        <w:spacing w:after="27"/>
        <w:rPr>
          <w:sz w:val="22"/>
          <w:szCs w:val="22"/>
        </w:rPr>
      </w:pPr>
      <w:r>
        <w:rPr>
          <w:sz w:val="22"/>
          <w:szCs w:val="22"/>
        </w:rPr>
        <w:t xml:space="preserve">a) do zásob patrí skladovaný materiál a skladovaný tovar </w:t>
      </w:r>
    </w:p>
    <w:p>
      <w:pPr>
        <w:pStyle w:val="13"/>
        <w:spacing w:after="27"/>
        <w:rPr>
          <w:sz w:val="22"/>
          <w:szCs w:val="22"/>
        </w:rPr>
      </w:pPr>
      <w:r>
        <w:rPr>
          <w:sz w:val="22"/>
          <w:szCs w:val="22"/>
        </w:rPr>
        <w:t xml:space="preserve">b) materiál a tovar sa prvotne oceňujú obstarávacou cenou, ktorú tvorí cena obstarania a náklady súvisiace s obstaraním (prepravné, poistné, provízie, skonto). </w:t>
      </w:r>
    </w:p>
    <w:p>
      <w:pPr>
        <w:pStyle w:val="13"/>
        <w:spacing w:after="27"/>
        <w:rPr>
          <w:color w:val="auto"/>
          <w:sz w:val="22"/>
          <w:szCs w:val="22"/>
        </w:rPr>
      </w:pPr>
      <w:r>
        <w:rPr>
          <w:sz w:val="22"/>
          <w:szCs w:val="22"/>
        </w:rPr>
        <w:t>c) nakupované zásoby sa vyskladňujú v obstarávacej cene</w:t>
      </w:r>
    </w:p>
    <w:p>
      <w:pPr>
        <w:pStyle w:val="13"/>
        <w:spacing w:after="27"/>
        <w:rPr>
          <w:color w:val="auto"/>
          <w:sz w:val="22"/>
          <w:szCs w:val="22"/>
        </w:rPr>
      </w:pPr>
    </w:p>
    <w:p>
      <w:pPr>
        <w:pStyle w:val="13"/>
        <w:rPr>
          <w:color w:val="auto"/>
          <w:sz w:val="22"/>
          <w:szCs w:val="22"/>
        </w:rPr>
      </w:pPr>
    </w:p>
    <w:p>
      <w:pPr>
        <w:pStyle w:val="13"/>
        <w:rPr>
          <w:b/>
          <w:bCs/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 xml:space="preserve">Informácie, ktoré vysvetľujú a dopĺňajú súvahu a výkaz ziskov a strát </w:t>
      </w:r>
    </w:p>
    <w:p>
      <w:pPr>
        <w:pStyle w:val="13"/>
        <w:rPr>
          <w:color w:val="auto"/>
          <w:sz w:val="22"/>
          <w:szCs w:val="22"/>
        </w:rPr>
      </w:pPr>
    </w:p>
    <w:p>
      <w:pPr>
        <w:pStyle w:val="13"/>
        <w:rPr>
          <w:color w:val="auto"/>
          <w:sz w:val="22"/>
          <w:szCs w:val="22"/>
          <w:u w:val="single"/>
        </w:rPr>
      </w:pPr>
      <w:r>
        <w:rPr>
          <w:color w:val="auto"/>
          <w:sz w:val="22"/>
          <w:szCs w:val="22"/>
          <w:u w:val="single"/>
        </w:rPr>
        <w:t>Informácie o peňažných prostriedkoch:</w:t>
      </w:r>
    </w:p>
    <w:p>
      <w:pPr>
        <w:pStyle w:val="13"/>
        <w:numPr>
          <w:ilvl w:val="0"/>
          <w:numId w:val="1"/>
        </w:numPr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pokladňa EUR – </w:t>
      </w:r>
      <w:r>
        <w:rPr>
          <w:rFonts w:hint="default"/>
          <w:color w:val="auto"/>
          <w:sz w:val="22"/>
          <w:szCs w:val="22"/>
          <w:lang w:val="sk-SK"/>
        </w:rPr>
        <w:t>4355,00</w:t>
      </w:r>
      <w:r>
        <w:rPr>
          <w:color w:val="auto"/>
          <w:sz w:val="22"/>
          <w:szCs w:val="22"/>
        </w:rPr>
        <w:t xml:space="preserve"> eur</w:t>
      </w:r>
    </w:p>
    <w:p>
      <w:pPr>
        <w:pStyle w:val="13"/>
        <w:numPr>
          <w:ilvl w:val="0"/>
          <w:numId w:val="1"/>
        </w:numPr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bankový účet Slovenská sporiteľňa – </w:t>
      </w:r>
      <w:r>
        <w:rPr>
          <w:rFonts w:hint="default"/>
          <w:color w:val="auto"/>
          <w:sz w:val="22"/>
          <w:szCs w:val="22"/>
          <w:lang w:val="sk-SK"/>
        </w:rPr>
        <w:t>-8,00</w:t>
      </w:r>
      <w:r>
        <w:rPr>
          <w:color w:val="auto"/>
          <w:sz w:val="22"/>
          <w:szCs w:val="22"/>
        </w:rPr>
        <w:t xml:space="preserve"> eur</w:t>
      </w:r>
    </w:p>
    <w:p>
      <w:pPr>
        <w:pStyle w:val="13"/>
        <w:rPr>
          <w:color w:val="auto"/>
          <w:sz w:val="22"/>
          <w:szCs w:val="22"/>
        </w:rPr>
      </w:pPr>
    </w:p>
    <w:p>
      <w:pPr>
        <w:pStyle w:val="13"/>
        <w:spacing w:after="27"/>
        <w:rPr>
          <w:color w:val="auto"/>
          <w:sz w:val="22"/>
          <w:szCs w:val="22"/>
          <w:u w:val="single"/>
        </w:rPr>
      </w:pPr>
      <w:r>
        <w:rPr>
          <w:color w:val="auto"/>
          <w:sz w:val="22"/>
          <w:szCs w:val="22"/>
          <w:u w:val="single"/>
        </w:rPr>
        <w:t xml:space="preserve">Informácie o záväzkoch, a to </w:t>
      </w:r>
    </w:p>
    <w:p>
      <w:pPr>
        <w:pStyle w:val="13"/>
        <w:numPr>
          <w:ilvl w:val="0"/>
          <w:numId w:val="2"/>
        </w:numPr>
        <w:spacing w:after="2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celkovej sume záväzkov z obchodného styku so zostatkovou dobou splatnosti kratšou ako 1 rok – 0 eur</w:t>
      </w:r>
    </w:p>
    <w:p>
      <w:pPr>
        <w:pStyle w:val="13"/>
        <w:numPr>
          <w:ilvl w:val="0"/>
          <w:numId w:val="2"/>
        </w:numPr>
        <w:spacing w:after="2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celkovej sume daňových záväzkov – 0 eur </w:t>
      </w:r>
    </w:p>
    <w:p>
      <w:pPr>
        <w:pStyle w:val="13"/>
        <w:spacing w:after="27"/>
        <w:rPr>
          <w:color w:val="auto"/>
          <w:sz w:val="22"/>
          <w:szCs w:val="22"/>
        </w:rPr>
      </w:pPr>
    </w:p>
    <w:p>
      <w:pPr>
        <w:pStyle w:val="13"/>
        <w:spacing w:after="27"/>
        <w:rPr>
          <w:color w:val="auto"/>
          <w:sz w:val="22"/>
          <w:szCs w:val="22"/>
        </w:rPr>
      </w:pPr>
      <w:r>
        <w:rPr>
          <w:color w:val="auto"/>
          <w:sz w:val="22"/>
          <w:szCs w:val="22"/>
          <w:u w:val="single"/>
        </w:rPr>
        <w:t>Informácie o základnom ímaní</w:t>
      </w:r>
      <w:r>
        <w:rPr>
          <w:color w:val="auto"/>
          <w:sz w:val="22"/>
          <w:szCs w:val="22"/>
        </w:rPr>
        <w:t>: Vklad: 5000 eur</w:t>
      </w:r>
    </w:p>
    <w:p>
      <w:pPr>
        <w:pStyle w:val="13"/>
        <w:spacing w:after="2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ab/>
      </w:r>
      <w:r>
        <w:rPr>
          <w:color w:val="auto"/>
          <w:sz w:val="22"/>
          <w:szCs w:val="22"/>
        </w:rPr>
        <w:tab/>
      </w:r>
      <w:r>
        <w:rPr>
          <w:color w:val="auto"/>
          <w:sz w:val="22"/>
          <w:szCs w:val="22"/>
        </w:rPr>
        <w:tab/>
      </w:r>
      <w:r>
        <w:rPr>
          <w:color w:val="auto"/>
          <w:sz w:val="22"/>
          <w:szCs w:val="22"/>
        </w:rPr>
        <w:tab/>
      </w:r>
      <w:r>
        <w:rPr>
          <w:color w:val="auto"/>
          <w:sz w:val="22"/>
          <w:szCs w:val="22"/>
        </w:rPr>
        <w:t xml:space="preserve">Splatené: 5000 eur </w:t>
      </w:r>
    </w:p>
    <w:p>
      <w:pPr>
        <w:pStyle w:val="13"/>
        <w:spacing w:after="27"/>
        <w:rPr>
          <w:color w:val="auto"/>
          <w:sz w:val="22"/>
          <w:szCs w:val="22"/>
        </w:rPr>
      </w:pPr>
    </w:p>
    <w:p>
      <w:pPr>
        <w:pStyle w:val="13"/>
        <w:spacing w:after="27"/>
        <w:rPr>
          <w:color w:val="auto"/>
          <w:sz w:val="22"/>
          <w:szCs w:val="22"/>
          <w:u w:val="single"/>
        </w:rPr>
      </w:pPr>
      <w:r>
        <w:rPr>
          <w:color w:val="auto"/>
          <w:sz w:val="22"/>
          <w:szCs w:val="22"/>
          <w:u w:val="single"/>
        </w:rPr>
        <w:t>Informácie  o nákladoch:</w:t>
      </w:r>
    </w:p>
    <w:p>
      <w:pPr>
        <w:pStyle w:val="13"/>
        <w:spacing w:after="2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ab/>
      </w:r>
      <w:r>
        <w:rPr>
          <w:color w:val="auto"/>
          <w:sz w:val="22"/>
          <w:szCs w:val="22"/>
        </w:rPr>
        <w:t>Najvýznamnejšie položky:</w:t>
      </w:r>
      <w:r>
        <w:rPr>
          <w:color w:val="auto"/>
          <w:sz w:val="22"/>
          <w:szCs w:val="22"/>
        </w:rPr>
        <w:tab/>
      </w:r>
      <w:r>
        <w:rPr>
          <w:color w:val="auto"/>
          <w:sz w:val="22"/>
          <w:szCs w:val="22"/>
        </w:rPr>
        <w:t>Služby-</w:t>
      </w:r>
      <w:r>
        <w:rPr>
          <w:rFonts w:hint="default"/>
          <w:color w:val="auto"/>
          <w:sz w:val="22"/>
          <w:szCs w:val="22"/>
          <w:lang w:val="sk-SK"/>
        </w:rPr>
        <w:t>zmeny v OR- 139</w:t>
      </w:r>
      <w:r>
        <w:rPr>
          <w:color w:val="auto"/>
          <w:sz w:val="22"/>
          <w:szCs w:val="22"/>
        </w:rPr>
        <w:t>,00 eur</w:t>
      </w:r>
    </w:p>
    <w:p>
      <w:pPr>
        <w:pStyle w:val="13"/>
        <w:spacing w:after="27"/>
        <w:ind w:left="2832" w:firstLine="708"/>
        <w:rPr>
          <w:color w:val="auto"/>
          <w:sz w:val="22"/>
          <w:szCs w:val="22"/>
        </w:rPr>
      </w:pPr>
      <w:r>
        <w:rPr>
          <w:rFonts w:hint="default"/>
          <w:color w:val="auto"/>
          <w:sz w:val="22"/>
          <w:szCs w:val="22"/>
          <w:lang w:val="sk-SK"/>
        </w:rPr>
        <w:t>Bankové poplatky</w:t>
      </w:r>
      <w:r>
        <w:rPr>
          <w:color w:val="auto"/>
          <w:sz w:val="22"/>
          <w:szCs w:val="22"/>
        </w:rPr>
        <w:t xml:space="preserve"> - </w:t>
      </w:r>
      <w:r>
        <w:rPr>
          <w:rFonts w:hint="default"/>
          <w:color w:val="auto"/>
          <w:sz w:val="22"/>
          <w:szCs w:val="22"/>
          <w:lang w:val="sk-SK"/>
        </w:rPr>
        <w:t>16</w:t>
      </w:r>
      <w:r>
        <w:rPr>
          <w:color w:val="auto"/>
          <w:sz w:val="22"/>
          <w:szCs w:val="22"/>
        </w:rPr>
        <w:t>,00 eur</w:t>
      </w:r>
    </w:p>
    <w:p>
      <w:pPr>
        <w:pStyle w:val="13"/>
        <w:spacing w:after="27"/>
        <w:ind w:left="2832" w:firstLine="708"/>
        <w:rPr>
          <w:color w:val="auto"/>
          <w:sz w:val="22"/>
          <w:szCs w:val="22"/>
        </w:rPr>
      </w:pPr>
    </w:p>
    <w:p>
      <w:pPr>
        <w:pStyle w:val="13"/>
        <w:spacing w:after="27"/>
        <w:rPr>
          <w:color w:val="auto"/>
          <w:sz w:val="22"/>
          <w:szCs w:val="22"/>
        </w:rPr>
      </w:pPr>
      <w:r>
        <w:rPr>
          <w:color w:val="auto"/>
          <w:sz w:val="22"/>
          <w:szCs w:val="22"/>
          <w:u w:val="single"/>
        </w:rPr>
        <w:t xml:space="preserve">Informácie o výnosoch:  </w:t>
      </w:r>
      <w:r>
        <w:rPr>
          <w:color w:val="auto"/>
          <w:sz w:val="22"/>
          <w:szCs w:val="22"/>
        </w:rPr>
        <w:t>firma v roku 202</w:t>
      </w:r>
      <w:r>
        <w:rPr>
          <w:rFonts w:hint="default"/>
          <w:color w:val="auto"/>
          <w:sz w:val="22"/>
          <w:szCs w:val="22"/>
          <w:lang w:val="sk-SK"/>
        </w:rPr>
        <w:t>3</w:t>
      </w:r>
      <w:r>
        <w:rPr>
          <w:color w:val="auto"/>
          <w:sz w:val="22"/>
          <w:szCs w:val="22"/>
        </w:rPr>
        <w:t xml:space="preserve"> nemala žiaden výnos</w:t>
      </w:r>
    </w:p>
    <w:p>
      <w:pPr>
        <w:pStyle w:val="13"/>
        <w:spacing w:after="27"/>
        <w:rPr>
          <w:color w:val="auto"/>
          <w:sz w:val="22"/>
          <w:szCs w:val="22"/>
        </w:rPr>
      </w:pPr>
    </w:p>
    <w:p>
      <w:pPr>
        <w:pStyle w:val="13"/>
        <w:spacing w:after="27"/>
        <w:rPr>
          <w:color w:val="auto"/>
          <w:sz w:val="22"/>
          <w:szCs w:val="22"/>
          <w:u w:val="single"/>
        </w:rPr>
      </w:pPr>
      <w:bookmarkStart w:id="0" w:name="_GoBack"/>
      <w:bookmarkEnd w:id="0"/>
    </w:p>
    <w:p>
      <w:pPr>
        <w:pStyle w:val="13"/>
        <w:spacing w:after="27"/>
        <w:rPr>
          <w:sz w:val="22"/>
          <w:szCs w:val="22"/>
        </w:rPr>
      </w:pPr>
      <w:r>
        <w:rPr>
          <w:color w:val="auto"/>
          <w:sz w:val="22"/>
          <w:szCs w:val="22"/>
        </w:rPr>
        <w:tab/>
      </w:r>
      <w:r>
        <w:rPr>
          <w:color w:val="auto"/>
          <w:sz w:val="22"/>
          <w:szCs w:val="22"/>
        </w:rPr>
        <w:tab/>
      </w:r>
      <w:r>
        <w:rPr>
          <w:color w:val="auto"/>
          <w:sz w:val="22"/>
          <w:szCs w:val="22"/>
        </w:rPr>
        <w:tab/>
      </w:r>
      <w:r>
        <w:rPr>
          <w:color w:val="auto"/>
          <w:sz w:val="22"/>
          <w:szCs w:val="22"/>
        </w:rPr>
        <w:t xml:space="preserve">    </w:t>
      </w:r>
    </w:p>
    <w:sectPr>
      <w:pgSz w:w="11906" w:h="17340"/>
      <w:pgMar w:top="426" w:right="843" w:bottom="505" w:left="791" w:header="708" w:footer="708" w:gutter="0"/>
      <w:cols w:space="708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EE"/>
    <w:family w:val="swiss"/>
    <w:pitch w:val="default"/>
    <w:sig w:usb0="E4002EFF" w:usb1="C200247B" w:usb2="00000009" w:usb3="00000000" w:csb0="200001FF" w:csb1="00000000"/>
  </w:font>
  <w:font w:name="Consolas">
    <w:panose1 w:val="020B0609020204030204"/>
    <w:charset w:val="EE"/>
    <w:family w:val="modern"/>
    <w:pitch w:val="default"/>
    <w:sig w:usb0="E00006FF" w:usb1="0000FCFF" w:usb2="00000001" w:usb3="00000000" w:csb0="6000019F" w:csb1="DFD70000"/>
  </w:font>
  <w:font w:name="Tahoma">
    <w:panose1 w:val="020B0604030504040204"/>
    <w:charset w:val="EE"/>
    <w:family w:val="swiss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02032B0"/>
    <w:multiLevelType w:val="multilevel"/>
    <w:tmpl w:val="202032B0"/>
    <w:lvl w:ilvl="0" w:tentative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AE3870"/>
    <w:multiLevelType w:val="multilevel"/>
    <w:tmpl w:val="25AE3870"/>
    <w:lvl w:ilvl="0" w:tentative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214E"/>
    <w:rsid w:val="0006487D"/>
    <w:rsid w:val="000E1735"/>
    <w:rsid w:val="00120607"/>
    <w:rsid w:val="00126C8E"/>
    <w:rsid w:val="00192E71"/>
    <w:rsid w:val="001A51E6"/>
    <w:rsid w:val="004109C8"/>
    <w:rsid w:val="0041637D"/>
    <w:rsid w:val="00443FA8"/>
    <w:rsid w:val="004A214E"/>
    <w:rsid w:val="004A277A"/>
    <w:rsid w:val="004A6917"/>
    <w:rsid w:val="004F6018"/>
    <w:rsid w:val="00565B1F"/>
    <w:rsid w:val="00590EB3"/>
    <w:rsid w:val="00595149"/>
    <w:rsid w:val="005B4028"/>
    <w:rsid w:val="005C3DB9"/>
    <w:rsid w:val="0070475C"/>
    <w:rsid w:val="0077046C"/>
    <w:rsid w:val="00851CCE"/>
    <w:rsid w:val="008846E2"/>
    <w:rsid w:val="00890ADD"/>
    <w:rsid w:val="0089679E"/>
    <w:rsid w:val="00900034"/>
    <w:rsid w:val="00930047"/>
    <w:rsid w:val="009D0A1D"/>
    <w:rsid w:val="00A16FC3"/>
    <w:rsid w:val="00A25A77"/>
    <w:rsid w:val="00A25DD3"/>
    <w:rsid w:val="00A35832"/>
    <w:rsid w:val="00BB3D6F"/>
    <w:rsid w:val="00BE78B6"/>
    <w:rsid w:val="00CB74B5"/>
    <w:rsid w:val="00CD017C"/>
    <w:rsid w:val="00D01967"/>
    <w:rsid w:val="00DC6D6B"/>
    <w:rsid w:val="00FA5C45"/>
    <w:rsid w:val="00FD015C"/>
    <w:rsid w:val="00FE1324"/>
    <w:rsid w:val="7F560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sk-SK" w:eastAsia="sk-SK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12"/>
    <w:semiHidden/>
    <w:unhideWhenUsed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5">
    <w:name w:val="annotation reference"/>
    <w:basedOn w:val="2"/>
    <w:semiHidden/>
    <w:unhideWhenUsed/>
    <w:uiPriority w:val="99"/>
    <w:rPr>
      <w:sz w:val="16"/>
      <w:szCs w:val="16"/>
    </w:rPr>
  </w:style>
  <w:style w:type="paragraph" w:styleId="6">
    <w:name w:val="annotation text"/>
    <w:basedOn w:val="1"/>
    <w:link w:val="10"/>
    <w:semiHidden/>
    <w:unhideWhenUsed/>
    <w:uiPriority w:val="99"/>
    <w:pPr>
      <w:spacing w:line="240" w:lineRule="auto"/>
    </w:pPr>
    <w:rPr>
      <w:sz w:val="20"/>
      <w:szCs w:val="20"/>
    </w:rPr>
  </w:style>
  <w:style w:type="paragraph" w:styleId="7">
    <w:name w:val="annotation subject"/>
    <w:basedOn w:val="6"/>
    <w:next w:val="6"/>
    <w:link w:val="11"/>
    <w:semiHidden/>
    <w:unhideWhenUsed/>
    <w:uiPriority w:val="99"/>
    <w:rPr>
      <w:b/>
      <w:bCs/>
    </w:rPr>
  </w:style>
  <w:style w:type="paragraph" w:styleId="8">
    <w:name w:val="Plain Text"/>
    <w:basedOn w:val="1"/>
    <w:link w:val="9"/>
    <w:semiHidden/>
    <w:unhideWhenUsed/>
    <w:uiPriority w:val="99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9">
    <w:name w:val="Obyčajný text Char"/>
    <w:basedOn w:val="2"/>
    <w:link w:val="8"/>
    <w:semiHidden/>
    <w:uiPriority w:val="99"/>
    <w:rPr>
      <w:rFonts w:ascii="Consolas" w:hAnsi="Consolas"/>
      <w:sz w:val="21"/>
      <w:szCs w:val="21"/>
    </w:rPr>
  </w:style>
  <w:style w:type="character" w:customStyle="1" w:styleId="10">
    <w:name w:val="Text komentára Char"/>
    <w:basedOn w:val="2"/>
    <w:link w:val="6"/>
    <w:semiHidden/>
    <w:uiPriority w:val="99"/>
    <w:rPr>
      <w:sz w:val="20"/>
      <w:szCs w:val="20"/>
    </w:rPr>
  </w:style>
  <w:style w:type="character" w:customStyle="1" w:styleId="11">
    <w:name w:val="Predmet komentára Char"/>
    <w:basedOn w:val="10"/>
    <w:link w:val="7"/>
    <w:semiHidden/>
    <w:uiPriority w:val="99"/>
    <w:rPr>
      <w:b/>
      <w:bCs/>
      <w:sz w:val="20"/>
      <w:szCs w:val="20"/>
    </w:rPr>
  </w:style>
  <w:style w:type="character" w:customStyle="1" w:styleId="12">
    <w:name w:val="Text bubliny Char"/>
    <w:basedOn w:val="2"/>
    <w:link w:val="4"/>
    <w:semiHidden/>
    <w:uiPriority w:val="99"/>
    <w:rPr>
      <w:rFonts w:ascii="Tahoma" w:hAnsi="Tahoma" w:cs="Tahoma"/>
      <w:sz w:val="16"/>
      <w:szCs w:val="16"/>
    </w:rPr>
  </w:style>
  <w:style w:type="paragraph" w:customStyle="1" w:styleId="13">
    <w:name w:val="Default"/>
    <w:uiPriority w:val="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 w:eastAsiaTheme="minorEastAsia"/>
      <w:color w:val="000000"/>
      <w:sz w:val="24"/>
      <w:szCs w:val="24"/>
      <w:lang w:val="sk-SK" w:eastAsia="sk-SK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Hewlett-Packard Company</Company>
  <Pages>1</Pages>
  <Words>300</Words>
  <Characters>1715</Characters>
  <Lines>14</Lines>
  <Paragraphs>4</Paragraphs>
  <TotalTime>86</TotalTime>
  <ScaleCrop>false</ScaleCrop>
  <LinksUpToDate>false</LinksUpToDate>
  <CharactersWithSpaces>2011</CharactersWithSpaces>
  <Application>WPS Office_12.2.0.13489_F1E327BC-269C-435d-A152-05C5408002CA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2023-03-27T17:13:00Z</dcterms:created>
  <dc:creator>cechova</dc:creator>
  <cp:lastModifiedBy>mfols</cp:lastModifiedBy>
  <cp:lastPrinted>2018-06-27T14:12:00Z</cp:lastPrinted>
  <dcterms:modified xsi:type="dcterms:W3CDTF">2024-03-27T22:07:47Z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1033-12.2.0.13489</vt:lpwstr>
  </property>
  <property fmtid="{D5CDD505-2E9C-101B-9397-08002B2CF9AE}" pid="3" name="ICV">
    <vt:lpwstr>0BF99D6AA7614267954DFEBC29EAD61C_12</vt:lpwstr>
  </property>
</Properties>
</file>