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4"/>
          <w:szCs w:val="24"/>
          <w:u w:val="single"/>
          <w:lang w:eastAsia="sk-SK"/>
        </w:rPr>
      </w:pPr>
      <w:r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7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2ak s. r. 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Podzámska 5,  94061  Nové Zámky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Dátum schválenia účtovnej závierky za bezprostredne predchádzajúce účtovné obdobie dňa </w:t>
      </w:r>
      <w:r>
        <w:rPr>
          <w:rFonts w:cs="Arial"/>
          <w:color w:val="C00000"/>
          <w:sz w:val="20"/>
          <w:szCs w:val="24"/>
          <w:lang w:eastAsia="sk-SK"/>
        </w:rPr>
        <w:t>27.04.2023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Právny dôvod zostavenia účtovnej závierky, účtovná závierka  k 31. 12. Je zostavená ako riadna účtovná závierka podľa § 47 ods. 6 zákona NR SR č. 431/2002 Z. z. o účtovníctve za účtovné obdobie od januára do decembra 20</w:t>
      </w:r>
      <w:r>
        <w:rPr>
          <w:rFonts w:cs="Arial"/>
          <w:color w:val="C00000"/>
          <w:sz w:val="20"/>
          <w:szCs w:val="24"/>
          <w:lang w:eastAsia="sk-SK"/>
        </w:rPr>
        <w:t xml:space="preserve">23 </w:t>
      </w:r>
      <w:r>
        <w:rPr>
          <w:rFonts w:cs="Arial"/>
          <w:color w:val="C00000"/>
          <w:sz w:val="20"/>
          <w:szCs w:val="24"/>
          <w:lang w:eastAsia="sk-SK"/>
        </w:rPr>
        <w:t>k poslednému dňu kalendárneho roka 202</w:t>
      </w:r>
      <w:r>
        <w:rPr>
          <w:rFonts w:cs="Arial"/>
          <w:color w:val="C00000"/>
          <w:sz w:val="20"/>
          <w:szCs w:val="24"/>
          <w:lang w:eastAsia="sk-SK"/>
        </w:rPr>
        <w:t>3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993"/>
        <w:gridCol w:w="3402"/>
        <w:gridCol w:w="2808"/>
        <w:gridCol w:w="1550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2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Právny dôvod na zostavenie účtovnej závierky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0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>
        <w:rPr>
          <w:rFonts w:cs="Arial"/>
          <w:sz w:val="20"/>
          <w:szCs w:val="24"/>
          <w:lang w:eastAsia="sk-SK"/>
        </w:rPr>
        <w:t xml:space="preserve"> napríklad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alebo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7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Uviesť 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776"/>
        <w:gridCol w:w="6475"/>
        <w:gridCol w:w="1276"/>
      </w:tblGrid>
      <w:tr>
        <w:trPr>
          <w:trHeight w:val="340" w:hRule="atLeast"/>
        </w:trPr>
        <w:tc>
          <w:tcPr>
            <w:tcW w:w="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40" w:hRule="atLeast"/>
        </w:trPr>
        <w:tc>
          <w:tcPr>
            <w:tcW w:w="7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val="x-none" w:eastAsia="x-none"/>
        </w:rPr>
      </w:pPr>
      <w:r>
        <w:rPr>
          <w:rFonts w:cs="Arial"/>
          <w:sz w:val="20"/>
          <w:szCs w:val="24"/>
          <w:lang w:val="x-none" w:eastAsia="x-none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Napríklad: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s výnimkou 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s výnimkou zásob vytvorených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podiely na ZI obchodných spoločností,  cenné papiere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pohľadávky pri odplatnom nadobudnutí alebo pohľadávky nadobudnuté vkladom do ZI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5. nehmotný majetok s výnimkou nehmotného majetku vytvoreného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6. záväzky pri ich prevzatí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zásoby vytvorené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nehmotný majetok vytvorený vlastnou činnosťou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4. príchovky a prírastky zvierat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1. peňažné prostriedky a ceniny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2. pohľadávky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3. záväzky pri ich vzniku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Spôsob ocenenia: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Úbytok zásob rovnakého druhu sa účtuje v ocenení: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Pri vyskladnení sa VON rozpúšťajú nasledovne :VON/(PS zásob + príjem zásob) x výdaj  zásob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Výdavky budúcich období a príjmy budúcich období  sa vykazujú vo výške, ktorá je potrebná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rovnajúcom istine a náklady súvisiace s obstaraním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15 %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Náklady a výnosy časovo rozlišujú. Časovo sa ne nerozlišujú náklady a výnosy, ak ide o nevýznamný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69"/>
        <w:gridCol w:w="1666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81"/>
        <w:gridCol w:w="1057"/>
        <w:gridCol w:w="1300"/>
        <w:gridCol w:w="1205"/>
        <w:gridCol w:w="1120"/>
        <w:gridCol w:w="1508"/>
      </w:tblGrid>
      <w:tr>
        <w:trPr/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Odpisová skupina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Počítač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/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Ukončené odpisovanie</w:t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Softwér STOR CAD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Škoda SUPERB COMBI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rovnmerné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976"/>
        <w:gridCol w:w="5813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 podľa opodstatneného predpokladu zníženia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ListParagraph"/>
              <w:widowControl w:val="false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ListParagraph"/>
              <w:widowControl w:val="false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087"/>
        <w:gridCol w:w="824"/>
        <w:gridCol w:w="291"/>
        <w:gridCol w:w="578"/>
        <w:gridCol w:w="292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Zmeny účtovných zásad a metód + konkrétny popis zmien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  <w:lang w:eastAsia="x-none"/>
        </w:rPr>
      </w:pPr>
      <w:r>
        <w:rPr>
          <w:rFonts w:cs="Arial"/>
          <w:sz w:val="20"/>
          <w:szCs w:val="24"/>
          <w:lang w:eastAsia="x-none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081"/>
        <w:gridCol w:w="2857"/>
        <w:gridCol w:w="1134"/>
      </w:tblGrid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5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2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numPr>
          <w:ilvl w:val="0"/>
          <w:numId w:val="9"/>
        </w:numPr>
        <w:tabs>
          <w:tab w:val="clear" w:pos="708"/>
          <w:tab w:val="left" w:pos="851" w:leader="none"/>
        </w:tabs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 xml:space="preserve">účtovnom období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76"/>
        <w:gridCol w:w="993"/>
        <w:gridCol w:w="851"/>
        <w:gridCol w:w="2125"/>
        <w:gridCol w:w="2553"/>
      </w:tblGrid>
      <w:tr>
        <w:trPr/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b/>
                <w:b/>
                <w:sz w:val="18"/>
                <w:szCs w:val="22"/>
                <w:lang w:eastAsia="sk-SK"/>
              </w:rPr>
            </w:pPr>
            <w:r>
              <w:rPr>
                <w:rFonts w:cs="Arial"/>
                <w:b/>
                <w:sz w:val="18"/>
                <w:szCs w:val="22"/>
                <w:lang w:eastAsia="sk-SK"/>
              </w:rPr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2"/>
                <w:lang w:eastAsia="sk-SK"/>
              </w:rPr>
            </w:pPr>
            <w:r>
              <w:rPr>
                <w:rFonts w:cs="Arial"/>
                <w:sz w:val="18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708"/>
          <w:tab w:val="left" w:pos="851" w:leader="none"/>
        </w:tabs>
        <w:spacing w:lineRule="auto" w:line="240" w:before="0" w:after="0"/>
        <w:jc w:val="both"/>
        <w:rPr>
          <w:color w:val="C00000"/>
          <w:szCs w:val="22"/>
          <w:u w:val="single"/>
        </w:rPr>
      </w:pPr>
      <w:r>
        <w:rPr>
          <w:szCs w:val="22"/>
          <w:u w:val="single"/>
        </w:rPr>
      </w:r>
    </w:p>
    <w:p>
      <w:pPr>
        <w:pStyle w:val="Normal"/>
        <w:spacing w:lineRule="auto" w:line="240" w:before="0" w:after="0"/>
        <w:jc w:val="center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>Dôvod vzniku goodwillu alebo záporného goodwillu, spôsob výpočtu, prehodnotenie opodstatnenosti jeho výšky a odpisu jeho hodnoty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98"/>
        <w:gridCol w:w="4181"/>
        <w:gridCol w:w="1419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Popis nákladov ,výnosov</w:t>
            </w:r>
          </w:p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671"/>
        <w:gridCol w:w="1400"/>
      </w:tblGrid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ind w:left="357" w:hanging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/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/>
                <w:b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left="357" w:hanging="0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7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bCs/>
                <w:sz w:val="20"/>
                <w:szCs w:val="20"/>
                <w:lang w:eastAsia="sk-SK"/>
              </w:rPr>
            </w:pPr>
            <w:r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cs="Arial"/>
                <w:sz w:val="20"/>
                <w:szCs w:val="20"/>
                <w:lang w:eastAsia="sk-SK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</w:t>
      </w:r>
    </w:p>
    <w:p>
      <w:pPr>
        <w:pStyle w:val="Normal"/>
        <w:numPr>
          <w:ilvl w:val="0"/>
          <w:numId w:val="6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>
      <w:pPr>
        <w:pStyle w:val="Normal"/>
        <w:numPr>
          <w:ilvl w:val="0"/>
          <w:numId w:val="5"/>
        </w:numPr>
        <w:tabs>
          <w:tab w:val="clear" w:pos="708"/>
          <w:tab w:val="left" w:pos="851" w:leader="none"/>
        </w:tabs>
        <w:spacing w:lineRule="auto" w:line="240" w:before="0" w:after="0"/>
        <w:ind w:left="1701" w:hanging="425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>
      <w:pPr>
        <w:pStyle w:val="Normal"/>
        <w:numPr>
          <w:ilvl w:val="0"/>
          <w:numId w:val="11"/>
        </w:numPr>
        <w:spacing w:lineRule="auto" w:line="240" w:before="0" w:after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cs="Arial"/>
          <w:bCs/>
          <w:kern w:val="2"/>
          <w:sz w:val="20"/>
          <w:szCs w:val="24"/>
        </w:rPr>
        <w:t>uvádza  sa aj ich percentuálny podiel na upísanom základnom imaní.</w:t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spacing w:lineRule="auto" w:line="240" w:before="0" w:after="0"/>
        <w:ind w:left="1276" w:hanging="0"/>
        <w:jc w:val="both"/>
        <w:rPr>
          <w:rFonts w:cs="Arial"/>
          <w:bCs/>
          <w:kern w:val="2"/>
          <w:sz w:val="20"/>
          <w:szCs w:val="24"/>
        </w:rPr>
      </w:pPr>
      <w:r>
        <w:rPr>
          <w:rFonts w:cs="Arial"/>
          <w:bCs/>
          <w:kern w:val="2"/>
          <w:sz w:val="20"/>
          <w:szCs w:val="24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  <w:t>Informácie</w:t>
      </w:r>
      <w:r>
        <w:rPr>
          <w:rFonts w:cs="Arial"/>
          <w:sz w:val="20"/>
          <w:szCs w:val="24"/>
          <w:lang w:eastAsia="sk-SK"/>
        </w:rPr>
        <w:t xml:space="preserve"> o </w:t>
      </w:r>
    </w:p>
    <w:p>
      <w:pPr>
        <w:pStyle w:val="Normal"/>
        <w:spacing w:lineRule="auto" w:line="240" w:before="0" w:after="0"/>
        <w:ind w:left="720" w:hanging="0"/>
        <w:rPr>
          <w:rFonts w:cs="Arial"/>
          <w:bCs/>
          <w:sz w:val="20"/>
          <w:szCs w:val="20"/>
          <w:u w:val="single"/>
          <w:lang w:eastAsia="sk-SK"/>
        </w:rPr>
      </w:pPr>
      <w:r>
        <w:rPr>
          <w:rFonts w:cs="Arial"/>
          <w:bCs/>
          <w:sz w:val="20"/>
          <w:szCs w:val="20"/>
          <w:u w:val="single"/>
          <w:lang w:eastAsia="sk-SK"/>
        </w:rPr>
      </w:r>
    </w:p>
    <w:tbl>
      <w:tblPr>
        <w:tblW w:w="9498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242"/>
        <w:gridCol w:w="7"/>
        <w:gridCol w:w="1705"/>
        <w:gridCol w:w="277"/>
        <w:gridCol w:w="714"/>
        <w:gridCol w:w="986"/>
        <w:gridCol w:w="148"/>
        <w:gridCol w:w="143"/>
        <w:gridCol w:w="1276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Výška jednotlivých druhov záruk alebo iných zabezpečení pre členov štatutárneho orgánu, dozorného orgánu a iného orgánu ÚJ</w:t>
            </w:r>
          </w:p>
        </w:tc>
      </w:tr>
      <w:tr>
        <w:trPr>
          <w:trHeight w:val="57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  <w:t>Úver – Slovenská sporiteľňa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3570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  <w:tab w:val="left" w:pos="851" w:leader="none"/>
              </w:tabs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Informácie o povinnostiach účtovnej jednotky, a to</w:t>
      </w:r>
    </w:p>
    <w:p>
      <w:pPr>
        <w:pStyle w:val="Normal"/>
        <w:numPr>
          <w:ilvl w:val="0"/>
          <w:numId w:val="4"/>
        </w:numPr>
        <w:spacing w:lineRule="auto" w:line="240" w:before="0" w:after="0"/>
        <w:ind w:left="1276" w:hanging="567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sz w:val="20"/>
          <w:szCs w:val="24"/>
          <w:lang w:eastAsia="sk-SK"/>
        </w:rPr>
      </w:pPr>
      <w:bookmarkStart w:id="1" w:name="OLE_LINK1"/>
      <w:r>
        <w:rPr>
          <w:rFonts w:cs="Arial"/>
          <w:sz w:val="20"/>
          <w:szCs w:val="24"/>
          <w:lang w:eastAsia="sk-SK"/>
        </w:rPr>
        <w:t>Celková suma podmieneného majetku</w:t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rPr>
          <w:rFonts w:cs="Arial"/>
          <w:b/>
          <w:b/>
          <w:sz w:val="20"/>
          <w:szCs w:val="24"/>
          <w:lang w:eastAsia="sk-SK"/>
        </w:rPr>
      </w:pPr>
      <w:bookmarkStart w:id="2" w:name="OLE_LINK1"/>
      <w:r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2"/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formách prijatej náhrady,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účtovných zásadách použitých pri prideľovaní nákladov a výnosov,</w:t>
      </w:r>
    </w:p>
    <w:p>
      <w:pPr>
        <w:pStyle w:val="Normal"/>
        <w:numPr>
          <w:ilvl w:val="0"/>
          <w:numId w:val="3"/>
        </w:numPr>
        <w:spacing w:lineRule="auto" w:line="240" w:before="0" w:after="0"/>
        <w:ind w:left="641" w:hanging="284"/>
        <w:jc w:val="both"/>
        <w:rPr>
          <w:color w:val="C00000"/>
          <w:szCs w:val="22"/>
        </w:rPr>
      </w:pPr>
      <w:r>
        <w:rPr>
          <w:color w:val="C00000"/>
          <w:szCs w:val="22"/>
        </w:rPr>
        <w:t>všetkých druhoch činností účtovnej jednotky.</w:t>
      </w:r>
    </w:p>
    <w:p>
      <w:pPr>
        <w:pStyle w:val="Normal"/>
        <w:spacing w:lineRule="auto" w:line="240" w:before="0" w:after="0"/>
        <w:rPr>
          <w:rFonts w:cs="Arial"/>
          <w:b/>
          <w:b/>
          <w:color w:val="C00000"/>
          <w:sz w:val="20"/>
          <w:szCs w:val="24"/>
          <w:u w:val="single"/>
          <w:lang w:eastAsia="sk-SK"/>
        </w:rPr>
      </w:pPr>
      <w:r>
        <w:rPr>
          <w:rFonts w:cs="Arial"/>
          <w:b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0"/>
          <w:szCs w:val="24"/>
          <w:u w:val="single"/>
          <w:lang w:eastAsia="sk-SK"/>
        </w:rPr>
      </w:pPr>
      <w:r>
        <w:rPr>
          <w:rFonts w:cs="Arial"/>
          <w:b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u w:val="single"/>
          <w:lang w:eastAsia="sk-SK"/>
        </w:rPr>
        <w:t>Všeobecné pokyny na uvedenie informácií v poznámkach</w:t>
      </w:r>
      <w:r>
        <w:rPr>
          <w:rFonts w:cs="Arial"/>
          <w:szCs w:val="22"/>
          <w:lang w:eastAsia="sk-SK"/>
        </w:rPr>
        <w:t>:</w:t>
      </w:r>
    </w:p>
    <w:p>
      <w:pPr>
        <w:pStyle w:val="Normal"/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szCs w:val="22"/>
          <w:lang w:eastAsia="sk-SK"/>
        </w:rPr>
      </w:r>
    </w:p>
    <w:p>
      <w:pPr>
        <w:pStyle w:val="Normal"/>
        <w:numPr>
          <w:ilvl w:val="0"/>
          <w:numId w:val="12"/>
        </w:numPr>
        <w:spacing w:lineRule="auto" w:line="240" w:before="0" w:after="0"/>
        <w:rPr>
          <w:rFonts w:cs="Arial"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>
      <w:pPr>
        <w:pStyle w:val="Normal"/>
        <w:keepNext w:val="true"/>
        <w:numPr>
          <w:ilvl w:val="0"/>
          <w:numId w:val="12"/>
        </w:numPr>
        <w:spacing w:lineRule="auto" w:line="240" w:before="0" w:after="0"/>
        <w:outlineLvl w:val="1"/>
        <w:rPr>
          <w:rFonts w:cs="Arial"/>
          <w:bCs/>
          <w:szCs w:val="22"/>
          <w:lang w:eastAsia="sk-SK"/>
        </w:rPr>
      </w:pPr>
      <w:r>
        <w:rPr>
          <w:rFonts w:cs="Arial"/>
          <w:bCs/>
          <w:szCs w:val="22"/>
          <w:lang w:eastAsia="sk-SK"/>
        </w:rPr>
        <w:t>V poznámkach sa číselné údaje uvádzajú v celých eurách.</w:t>
      </w:r>
    </w:p>
    <w:p>
      <w:pPr>
        <w:pStyle w:val="ListParagraph"/>
        <w:keepNext w:val="true"/>
        <w:numPr>
          <w:ilvl w:val="0"/>
          <w:numId w:val="0"/>
        </w:numPr>
        <w:spacing w:lineRule="auto" w:line="240" w:before="0" w:after="0"/>
        <w:ind w:left="357" w:hanging="0"/>
        <w:contextualSpacing/>
        <w:jc w:val="both"/>
        <w:outlineLvl w:val="1"/>
        <w:rPr>
          <w:szCs w:val="22"/>
        </w:rPr>
      </w:pPr>
      <w:r>
        <w:rPr>
          <w:szCs w:val="22"/>
        </w:rPr>
      </w:r>
    </w:p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Použité  skratky: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ÚJ-účtovná jednotka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BO-bežné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PO-bezprostredne predchádzajúce účtovné obdobie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EUAlbertina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center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6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tbl>
    <w:tblPr>
      <w:tblW w:w="8957" w:type="dxa"/>
      <w:jc w:val="left"/>
      <w:tblInd w:w="93" w:type="dxa"/>
      <w:tblLayout w:type="fixed"/>
      <w:tblCellMar>
        <w:top w:w="0" w:type="dxa"/>
        <w:left w:w="70" w:type="dxa"/>
        <w:bottom w:w="0" w:type="dxa"/>
        <w:right w:w="70" w:type="dxa"/>
      </w:tblCellMar>
      <w:tblLook w:firstRow="0" w:noVBand="0" w:lastRow="0" w:firstColumn="0" w:lastColumn="0" w:noHBand="0" w:val="0000"/>
    </w:tblPr>
    <w:tblGrid>
      <w:gridCol w:w="2244"/>
      <w:gridCol w:w="1701"/>
      <w:gridCol w:w="2410"/>
      <w:gridCol w:w="445"/>
      <w:gridCol w:w="2157"/>
    </w:tblGrid>
    <w:tr>
      <w:trPr>
        <w:trHeight w:val="326" w:hRule="atLeast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>
          <w:pPr>
            <w:pStyle w:val="Zhlavie"/>
            <w:widowControl w:val="false"/>
            <w:rPr/>
          </w:pPr>
          <w:r>
            <w:rPr/>
            <w:t>Poznámky Úč POD 3-01</w:t>
          </w:r>
        </w:p>
      </w:tc>
      <w:tc>
        <w:tcPr>
          <w:tcW w:w="1701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IČO:46745947</w:t>
          </w:r>
        </w:p>
      </w:tc>
      <w:tc>
        <w:tcPr>
          <w:tcW w:w="445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widowControl w:val="false"/>
            <w:spacing w:lineRule="auto" w:line="240" w:before="0" w:after="0"/>
            <w:rPr/>
          </w:pPr>
          <w:r>
            <w:rPr/>
            <w:t>DIČ:2023576115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/>
    </w:lvl>
  </w:abstractNum>
  <w:abstractNum w:abstractNumId="3"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  <w:rPr>
        <w:sz w:val="22"/>
        <w:szCs w:val="22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8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0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2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4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6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8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00" w:hanging="180"/>
      </w:pPr>
      <w:rPr/>
    </w:lvl>
  </w:abstractNum>
  <w:abstractNum w:abstractNumId="4">
    <w:lvl w:ilvl="0">
      <w:start w:val="1"/>
      <w:numFmt w:val="bullet"/>
      <w:lvlText w:val=""/>
      <w:lvlJc w:val="left"/>
      <w:pPr>
        <w:tabs>
          <w:tab w:val="num" w:pos="0"/>
        </w:tabs>
        <w:ind w:left="1841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5">
    <w:lvl w:ilvl="0">
      <w:start w:val="2"/>
      <w:numFmt w:val="decimal"/>
      <w:lvlText w:val="%1."/>
      <w:lvlJc w:val="left"/>
      <w:pPr>
        <w:tabs>
          <w:tab w:val="num" w:pos="0"/>
        </w:tabs>
        <w:ind w:left="251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0"/>
        </w:tabs>
        <w:ind w:left="2913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433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3153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873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593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313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6033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753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473" w:hanging="180"/>
      </w:pPr>
      <w:rPr/>
    </w:lvl>
  </w:abstractNum>
  <w:abstractNum w:abstractNumId="7"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9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21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93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5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7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9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81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534" w:hanging="180"/>
      </w:pPr>
      <w:rPr/>
    </w:lvl>
  </w:abstractNum>
  <w:abstractNum w:abstractNumId="8">
    <w:lvl w:ilvl="0">
      <w:start w:val="1"/>
      <w:numFmt w:val="upperLetter"/>
      <w:lvlText w:val="%1)"/>
      <w:lvlJc w:val="left"/>
      <w:pPr>
        <w:tabs>
          <w:tab w:val="num" w:pos="0"/>
        </w:tabs>
        <w:ind w:left="1494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214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934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654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74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94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814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534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254" w:hanging="180"/>
      </w:pPr>
      <w:rPr/>
    </w:lvl>
  </w:abstractNum>
  <w:abstractNum w:abstractNumId="9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0"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fals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1">
    <w:lvl w:ilvl="0">
      <w:start w:val="1"/>
      <w:numFmt w:val="bullet"/>
      <w:lvlText w:val=""/>
      <w:lvlJc w:val="left"/>
      <w:pPr>
        <w:tabs>
          <w:tab w:val="num" w:pos="0"/>
        </w:tabs>
        <w:ind w:left="1996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71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3436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4156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87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596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6316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03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756" w:hanging="360"/>
      </w:pPr>
      <w:rPr>
        <w:rFonts w:ascii="Wingdings" w:hAnsi="Wingdings" w:cs="Wingdings" w:hint="default"/>
      </w:rPr>
    </w:lvl>
  </w:abstractNum>
  <w:abstractNum w:abstractNumId="1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1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eastAsia="en-US" w:val="sk-SK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HlavikaChar" w:customStyle="1">
    <w:name w:val="Hlavička Char"/>
    <w:uiPriority w:val="99"/>
    <w:qFormat/>
    <w:locked/>
    <w:rsid w:val="00107589"/>
    <w:rPr>
      <w:rFonts w:cs="Times New Roman"/>
    </w:rPr>
  </w:style>
  <w:style w:type="character" w:styleId="PtaChar" w:customStyle="1">
    <w:name w:val="Päta Char"/>
    <w:uiPriority w:val="99"/>
    <w:qFormat/>
    <w:locked/>
    <w:rsid w:val="00107589"/>
    <w:rPr>
      <w:rFonts w:cs="Times New Roman"/>
    </w:rPr>
  </w:style>
  <w:style w:type="character" w:styleId="TextpoznmkypodiarouChar128" w:customStyle="1">
    <w:name w:val="Text poznámky pod čiarou Char128"/>
    <w:uiPriority w:val="99"/>
    <w:semiHidden/>
    <w:qFormat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uiPriority w:val="99"/>
    <w:semiHidden/>
    <w:qFormat/>
    <w:locked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uiPriority w:val="99"/>
    <w:qFormat/>
    <w:locked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7" w:customStyle="1">
    <w:name w:val="Názov Char12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Pr>
      <w:rFonts w:cs="Times New Roman"/>
      <w:sz w:val="36"/>
      <w:szCs w:val="36"/>
    </w:rPr>
  </w:style>
  <w:style w:type="character" w:styleId="ZkladntextChar" w:customStyle="1">
    <w:name w:val="Základný text Char"/>
    <w:uiPriority w:val="99"/>
    <w:semiHidden/>
    <w:qFormat/>
    <w:locked/>
    <w:rPr>
      <w:rFonts w:cs="Times New Roman"/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uiPriority w:val="11"/>
    <w:qFormat/>
    <w:locked/>
    <w:rPr>
      <w:rFonts w:ascii="Cambria" w:hAnsi="Cambria" w:eastAsia="Times New Roman" w:cs="Times New Roman"/>
      <w:sz w:val="24"/>
      <w:szCs w:val="24"/>
    </w:rPr>
  </w:style>
  <w:style w:type="character" w:styleId="PodtitulChar127" w:customStyle="1">
    <w:name w:val="Podtitul Char12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Pr>
      <w:rFonts w:cs="Times New Roman"/>
      <w:sz w:val="36"/>
      <w:szCs w:val="36"/>
    </w:rPr>
  </w:style>
  <w:style w:type="character" w:styleId="Zkladntext2Char" w:customStyle="1">
    <w:name w:val="Základný text 2 Char"/>
    <w:link w:val="BodyText2"/>
    <w:uiPriority w:val="99"/>
    <w:semiHidden/>
    <w:qFormat/>
    <w:locked/>
    <w:rPr>
      <w:rFonts w:cs="Times New Roman"/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link w:val="BodyTextIndent2"/>
    <w:uiPriority w:val="99"/>
    <w:semiHidden/>
    <w:qFormat/>
    <w:locked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link w:val="BodyTextIndent3"/>
    <w:uiPriority w:val="99"/>
    <w:semiHidden/>
    <w:qFormat/>
    <w:locked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link w:val="BalloonText"/>
    <w:uiPriority w:val="99"/>
    <w:semiHidden/>
    <w:qFormat/>
    <w:locked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Pr>
      <w:rFonts w:ascii="Tahoma" w:hAnsi="Tahoma" w:cs="Tahoma"/>
      <w:sz w:val="16"/>
      <w:szCs w:val="16"/>
    </w:rPr>
  </w:style>
  <w:style w:type="character" w:styleId="Ukotveniepoznmkypodiarou">
    <w:name w:val="Footnote Reference"/>
    <w:rPr>
      <w:vertAlign w:val="superscript"/>
    </w:rPr>
  </w:style>
  <w:style w:type="character" w:styleId="FootnoteCharacters">
    <w:name w:val="Footnote Characters"/>
    <w:uiPriority w:val="99"/>
    <w:qFormat/>
    <w:rsid w:val="00686076"/>
    <w:rPr>
      <w:vertAlign w:val="superscript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236906"/>
    <w:pPr>
      <w:widowControl/>
      <w:bidi w:val="0"/>
      <w:spacing w:before="0" w:after="0"/>
      <w:jc w:val="left"/>
    </w:pPr>
    <w:rPr>
      <w:rFonts w:ascii="EUAlbertina" w:hAnsi="EUAlbertina" w:cs="EUAlbertina" w:eastAsia="Times New Roman"/>
      <w:color w:val="000000"/>
      <w:kern w:val="0"/>
      <w:sz w:val="24"/>
      <w:szCs w:val="24"/>
      <w:lang w:eastAsia="en-US" w:val="sk-SK" w:bidi="ar-SA"/>
    </w:rPr>
  </w:style>
  <w:style w:type="paragraph" w:styleId="Pismenka" w:customStyle="1">
    <w:name w:val="Pismenka"/>
    <w:basedOn w:val="Telotextu"/>
    <w:qFormat/>
    <w:rsid w:val="00710a71"/>
    <w:pPr>
      <w:numPr>
        <w:ilvl w:val="0"/>
        <w:numId w:val="1"/>
      </w:numPr>
    </w:pPr>
    <w:rPr>
      <w:bCs w:val="false"/>
      <w:sz w:val="18"/>
      <w:szCs w:val="20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ABC388-3A63-41D9-B504-BF0C08B5F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Application>LibreOffice/7.4.0.3$Windows_X86_64 LibreOffice_project/f85e47c08ddd19c015c0114a68350214f7066f5a</Application>
  <AppVersion>15.0000</AppVersion>
  <Pages>6</Pages>
  <Words>1551</Words>
  <Characters>9295</Characters>
  <CharactersWithSpaces>10664</CharactersWithSpaces>
  <Paragraphs>201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2022-04-29T19:31:00Z</dcterms:created>
  <dc:creator>EK</dc:creator>
  <dc:description/>
  <dc:language>sk-SK</dc:language>
  <cp:lastModifiedBy/>
  <cp:lastPrinted>2024-03-28T16:18:43Z</cp:lastPrinted>
  <dcterms:modified xsi:type="dcterms:W3CDTF">2024-03-28T16:19:34Z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