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F3300" w14:textId="77777777" w:rsidR="00CD0101" w:rsidRPr="005877C7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5877C7">
        <w:rPr>
          <w:rFonts w:ascii="Times New Roman" w:hAnsi="Times New Roman" w:cs="Times New Roman"/>
          <w:b/>
          <w:color w:val="4472C4" w:themeColor="accent1"/>
        </w:rPr>
        <w:t>Čl. I </w:t>
      </w:r>
      <w:r w:rsidRPr="005877C7">
        <w:rPr>
          <w:rFonts w:ascii="Times New Roman" w:hAnsi="Times New Roman" w:cs="Times New Roman"/>
          <w:b/>
          <w:color w:val="4472C4" w:themeColor="accent1"/>
        </w:rPr>
        <w:tab/>
        <w:t>Všeobecné informácie</w:t>
      </w:r>
    </w:p>
    <w:p w14:paraId="5F946735" w14:textId="77777777" w:rsidR="00CD0101" w:rsidRPr="002E2695" w:rsidRDefault="00CD0101" w:rsidP="00CD0101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14:paraId="5B483EC9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I.1 </w:t>
      </w:r>
      <w:r w:rsidRPr="00F730ED">
        <w:rPr>
          <w:rFonts w:ascii="Times New Roman" w:hAnsi="Times New Roman" w:cs="Times New Roman"/>
          <w:b/>
        </w:rPr>
        <w:tab/>
        <w:t>Obchodné meno účtovnej jednotky:</w:t>
      </w:r>
    </w:p>
    <w:p w14:paraId="7D9D796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ab/>
      </w:r>
      <w:r w:rsidR="00960B74">
        <w:rPr>
          <w:rFonts w:ascii="Times New Roman" w:hAnsi="Times New Roman" w:cs="Times New Roman"/>
        </w:rPr>
        <w:t>DH CONSTRUCTION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s.r.o</w:t>
      </w:r>
      <w:proofErr w:type="spellEnd"/>
      <w:r>
        <w:rPr>
          <w:rFonts w:ascii="Times New Roman" w:hAnsi="Times New Roman" w:cs="Times New Roman"/>
        </w:rPr>
        <w:t>.</w:t>
      </w:r>
    </w:p>
    <w:p w14:paraId="1D46B909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Sídlo účtovnej jednotky:</w:t>
      </w:r>
    </w:p>
    <w:p w14:paraId="3D3561AA" w14:textId="77777777" w:rsidR="00CD0101" w:rsidRDefault="00960B74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Komenského 3043/40</w:t>
      </w:r>
    </w:p>
    <w:p w14:paraId="43F096F7" w14:textId="77777777" w:rsidR="00CD0101" w:rsidRDefault="00960B74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926 01 Sereď</w:t>
      </w:r>
    </w:p>
    <w:p w14:paraId="7FDC6442" w14:textId="77777777" w:rsidR="00960B74" w:rsidRPr="00F730ED" w:rsidRDefault="00960B74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</w:p>
    <w:p w14:paraId="44FF32B6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Opis hospodárskej činnosti účtovnej jednotky:</w:t>
      </w:r>
    </w:p>
    <w:p w14:paraId="0D4937FA" w14:textId="77777777" w:rsidR="00CD0101" w:rsidRDefault="00960B74" w:rsidP="00CD0101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Ostatné stavebné kompletizačné práce</w:t>
      </w:r>
    </w:p>
    <w:p w14:paraId="4CF52CB7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74C1397A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33C6E4B9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I.2</w:t>
      </w:r>
      <w:r w:rsidRPr="00F730ED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14:paraId="70415A28" w14:textId="222D70D0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Účtovná závierka Spoločnosti k 31. decembru 20</w:t>
      </w:r>
      <w:r w:rsidR="00E20ED4">
        <w:rPr>
          <w:rFonts w:ascii="Times New Roman" w:hAnsi="Times New Roman" w:cs="Times New Roman"/>
        </w:rPr>
        <w:t>2</w:t>
      </w:r>
      <w:r w:rsidR="00D10D8B">
        <w:rPr>
          <w:rFonts w:ascii="Times New Roman" w:hAnsi="Times New Roman" w:cs="Times New Roman"/>
        </w:rPr>
        <w:t>2</w:t>
      </w:r>
      <w:r w:rsidRPr="00F730ED">
        <w:rPr>
          <w:rFonts w:ascii="Times New Roman" w:hAnsi="Times New Roman" w:cs="Times New Roman"/>
        </w:rPr>
        <w:t xml:space="preserve">, za predchádzajúce účtovné obdobie, bola schválená valným zhromaždením Spoločnosti dňa </w:t>
      </w:r>
      <w:r w:rsidR="00D10D8B">
        <w:rPr>
          <w:rFonts w:ascii="Times New Roman" w:hAnsi="Times New Roman" w:cs="Times New Roman"/>
        </w:rPr>
        <w:t>30</w:t>
      </w:r>
      <w:r w:rsidR="00E20ED4">
        <w:rPr>
          <w:rFonts w:ascii="Times New Roman" w:hAnsi="Times New Roman" w:cs="Times New Roman"/>
        </w:rPr>
        <w:t>.6.202</w:t>
      </w:r>
      <w:r w:rsidR="00925F02">
        <w:rPr>
          <w:rFonts w:ascii="Times New Roman" w:hAnsi="Times New Roman" w:cs="Times New Roman"/>
        </w:rPr>
        <w:t>3</w:t>
      </w:r>
      <w:r w:rsidR="00E20ED4">
        <w:rPr>
          <w:rFonts w:ascii="Times New Roman" w:hAnsi="Times New Roman" w:cs="Times New Roman"/>
        </w:rPr>
        <w:t>.</w:t>
      </w:r>
    </w:p>
    <w:p w14:paraId="162C9F47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48E72C40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67997BB3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I.3</w:t>
      </w:r>
      <w:r w:rsidRPr="00F730ED">
        <w:rPr>
          <w:rFonts w:ascii="Times New Roman" w:hAnsi="Times New Roman" w:cs="Times New Roman"/>
          <w:b/>
        </w:rPr>
        <w:tab/>
        <w:t>Právny dôvod na zostavenie účtovnej závierky:</w:t>
      </w:r>
    </w:p>
    <w:p w14:paraId="062B63D0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49A0D79D" w14:textId="77777777" w:rsidR="00CD0101" w:rsidRPr="00F730ED" w:rsidRDefault="002C5478" w:rsidP="00CD0101">
      <w:pPr>
        <w:pStyle w:val="Odsekzoznamu"/>
        <w:tabs>
          <w:tab w:val="left" w:pos="1604"/>
          <w:tab w:val="left" w:pos="2815"/>
        </w:tabs>
        <w:spacing w:after="0" w:line="276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D0101" w:rsidRPr="00F730ED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CD0101"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0101" w:rsidRPr="00F730ED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CD0101"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14:paraId="3A7C6C97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525EAC6E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1509CE0E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I.4 </w:t>
      </w:r>
      <w:r w:rsidRPr="00F730ED">
        <w:rPr>
          <w:rFonts w:ascii="Times New Roman" w:hAnsi="Times New Roman" w:cs="Times New Roman"/>
          <w:b/>
        </w:rPr>
        <w:tab/>
        <w:t>Informácie o skupine účtovných jednotiek</w:t>
      </w:r>
    </w:p>
    <w:p w14:paraId="3432BD9D" w14:textId="77777777" w:rsidR="00CD0101" w:rsidRPr="00CC0138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CC0138">
        <w:rPr>
          <w:rFonts w:ascii="Times New Roman" w:hAnsi="Times New Roman" w:cs="Times New Roman"/>
        </w:rPr>
        <w:t xml:space="preserve">             Nie je - nemá</w:t>
      </w:r>
    </w:p>
    <w:p w14:paraId="19A0F14D" w14:textId="77777777" w:rsidR="00CD0101" w:rsidRDefault="00CD0101" w:rsidP="00CD0101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  <w:b/>
        </w:rPr>
        <w:tab/>
      </w:r>
    </w:p>
    <w:p w14:paraId="4E55D277" w14:textId="77777777" w:rsidR="00CD0101" w:rsidRDefault="00CD0101" w:rsidP="00CD0101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</w:p>
    <w:p w14:paraId="4D78019C" w14:textId="77777777" w:rsidR="00CD0101" w:rsidRPr="00F730ED" w:rsidRDefault="00CD0101" w:rsidP="00CD0101">
      <w:pPr>
        <w:spacing w:after="0" w:line="276" w:lineRule="auto"/>
        <w:ind w:left="709" w:hanging="1"/>
        <w:jc w:val="both"/>
        <w:rPr>
          <w:rFonts w:ascii="Times New Roman" w:hAnsi="Times New Roman" w:cs="Times New Roman"/>
        </w:rPr>
      </w:pPr>
    </w:p>
    <w:p w14:paraId="0FE2AA79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I.5 </w:t>
      </w:r>
      <w:r w:rsidRPr="00F730ED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CD0101" w:rsidRPr="00F730ED" w14:paraId="4A1C8E01" w14:textId="77777777" w:rsidTr="008C4389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05B28D8C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DECE012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14:paraId="735CCC75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CD0101" w:rsidRPr="00F730ED" w14:paraId="38BCB0AA" w14:textId="77777777" w:rsidTr="008C4389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14:paraId="44808C9D" w14:textId="77777777" w:rsidR="00CD0101" w:rsidRPr="00F730ED" w:rsidRDefault="00CD0101" w:rsidP="008C438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730ED">
              <w:rPr>
                <w:rFonts w:ascii="Times New Roman" w:hAnsi="Times New Roman" w:cs="Times New Roman"/>
              </w:rPr>
              <w:t>Priemerný prepočítaný počet zamestnancov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129F2B1F" w14:textId="77777777" w:rsidR="00CD0101" w:rsidRPr="00F730ED" w:rsidRDefault="00960B74" w:rsidP="008C438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  <w:vAlign w:val="center"/>
          </w:tcPr>
          <w:p w14:paraId="7F45EDB2" w14:textId="77777777" w:rsidR="00CD0101" w:rsidRPr="00F730ED" w:rsidRDefault="00960B74" w:rsidP="008C438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</w:tbl>
    <w:p w14:paraId="39D22BEC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4EEBBF1F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450FDF8E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0D001585" w14:textId="77777777" w:rsidR="00CD0101" w:rsidRPr="00F730ED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57463501" w14:textId="77777777" w:rsidR="00CD0101" w:rsidRPr="00F730ED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orgánoch spoločnosti</w:t>
      </w:r>
    </w:p>
    <w:p w14:paraId="3B6C4F37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527C161" w14:textId="2F6DCA0C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Členom štatutárneho orgánu, ani členom dozorných orgánov  neboli v roku 20</w:t>
      </w:r>
      <w:r w:rsidR="007767F9">
        <w:rPr>
          <w:rFonts w:ascii="Times New Roman" w:hAnsi="Times New Roman" w:cs="Times New Roman"/>
        </w:rPr>
        <w:t>2</w:t>
      </w:r>
      <w:r w:rsidR="00614FF5">
        <w:rPr>
          <w:rFonts w:ascii="Times New Roman" w:hAnsi="Times New Roman" w:cs="Times New Roman"/>
        </w:rPr>
        <w:t>3</w:t>
      </w:r>
      <w:r w:rsidRPr="00F730ED">
        <w:rPr>
          <w:rFonts w:ascii="Times New Roman" w:hAnsi="Times New Roman" w:cs="Times New Roman"/>
        </w:rPr>
        <w:t xml:space="preserve"> poskytnuté žiadne pôžičky, záruky alebo iné formy zabezpečenia, ani finančné prostriedky alebo iné plnenia na súkromné účely členov, ktoré sa vyúčtovávajú</w:t>
      </w:r>
      <w:r w:rsidR="00E20ED4">
        <w:rPr>
          <w:rFonts w:ascii="Times New Roman" w:hAnsi="Times New Roman" w:cs="Times New Roman"/>
        </w:rPr>
        <w:t>.</w:t>
      </w:r>
    </w:p>
    <w:p w14:paraId="21327C42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8D5B789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9EEC828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198C2A4D" w14:textId="77777777" w:rsidR="00614FF5" w:rsidRDefault="00614FF5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488161A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268C0336" w14:textId="77777777" w:rsidR="00CD0101" w:rsidRPr="00F730ED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lastRenderedPageBreak/>
        <w:t>Čl. III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prijatých postupoch</w:t>
      </w:r>
    </w:p>
    <w:p w14:paraId="6463E34A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III. 1</w:t>
      </w:r>
      <w:r w:rsidRPr="00F730ED">
        <w:rPr>
          <w:rFonts w:ascii="Times New Roman" w:hAnsi="Times New Roman" w:cs="Times New Roman"/>
          <w:b/>
        </w:rPr>
        <w:tab/>
        <w:t>Účtovná jednotka bude nepretržite pokračovať vo svojej činnosti:</w:t>
      </w:r>
    </w:p>
    <w:p w14:paraId="67138252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hAnsi="Times New Roman" w:cs="Times New Roman"/>
          <w:b/>
        </w:rPr>
        <w:tab/>
      </w: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Pr="00F730ED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áno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30ED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14:paraId="727B67F7" w14:textId="77777777" w:rsidR="00CD0101" w:rsidRPr="00F730ED" w:rsidRDefault="00CD0101" w:rsidP="00CD0101">
      <w:pPr>
        <w:spacing w:after="0" w:line="276" w:lineRule="auto"/>
        <w:ind w:left="708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Účtovná závierka bola zostavená za predpokladu nepretržitého trvania Spoločnosti (</w:t>
      </w:r>
      <w:proofErr w:type="spellStart"/>
      <w:r w:rsidRPr="00F730ED">
        <w:rPr>
          <w:rFonts w:ascii="Times New Roman" w:hAnsi="Times New Roman" w:cs="Times New Roman"/>
        </w:rPr>
        <w:t>going</w:t>
      </w:r>
      <w:proofErr w:type="spellEnd"/>
      <w:r w:rsidRPr="00F730ED">
        <w:rPr>
          <w:rFonts w:ascii="Times New Roman" w:hAnsi="Times New Roman" w:cs="Times New Roman"/>
        </w:rPr>
        <w:t xml:space="preserve"> </w:t>
      </w:r>
      <w:proofErr w:type="spellStart"/>
      <w:r w:rsidRPr="00F730ED">
        <w:rPr>
          <w:rFonts w:ascii="Times New Roman" w:hAnsi="Times New Roman" w:cs="Times New Roman"/>
        </w:rPr>
        <w:t>concern</w:t>
      </w:r>
      <w:proofErr w:type="spellEnd"/>
      <w:r w:rsidRPr="00F730ED">
        <w:rPr>
          <w:rFonts w:ascii="Times New Roman" w:hAnsi="Times New Roman" w:cs="Times New Roman"/>
        </w:rPr>
        <w:t>). Účtovné metódy a všeobecné účtovné zásady boli účtovnou jednotkou konzistentne aplikované.</w:t>
      </w:r>
    </w:p>
    <w:p w14:paraId="03506951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EE50232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III. 2  </w:t>
      </w:r>
      <w:r w:rsidRPr="00F730ED">
        <w:rPr>
          <w:rFonts w:ascii="Times New Roman" w:hAnsi="Times New Roman" w:cs="Times New Roman"/>
          <w:b/>
        </w:rPr>
        <w:tab/>
        <w:t>Dlhodobý nehmotný majetok a dlhodobý hmotný majetok</w:t>
      </w:r>
    </w:p>
    <w:p w14:paraId="729213BA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690BB610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Dlhodobý majetok nakupovaný sa oceňuje obstarávacou cenou, ktorá zahŕňa cenu obstarania a náklady súvisiace s obstaraním (clo, prepravu, montáž, poistné a pod.). </w:t>
      </w:r>
    </w:p>
    <w:p w14:paraId="01546872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1E378EB8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Súčasťou obstarávacej ceny dlhodobého hmotného a nehmotného majetku nie sú úroky z cudzích zdrojov ani realizované kurzové rozdiely, ktoré vznikli do momentu uvedenia dlhodobého majetku do používania.</w:t>
      </w:r>
    </w:p>
    <w:p w14:paraId="546AF040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258FB090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Dlhodobý majetok vytvorený vlastnou činnosťou sa oceňuje vlastnými nákladmi. Vlastnými nákladmi sú všetky priame náklady vynaložené na výrobu alebo inú činnosť a nepriame náklady, ktoré sa vzťahujú na výrobu alebo inú činnosť. </w:t>
      </w:r>
    </w:p>
    <w:p w14:paraId="14755649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747BFD6B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Odpisy dlhodobého nehmotného majetku sú stanovené vychádzajúc z predpokladanej doby jeho používania a predpokladaného priebehu jeho opotrebenia. Odpisovať sa začína prvým dňom mesiaca nasledujúceho po uvedení dlhodobého majetku do používania. Drobný dlhodobý nehmotný majetok, ktorého obstarávacia cena (resp. vlastné náklady) je 2 400 EUR a nižšia, sa odpisuje jednorazovo pri uvedení do používania. </w:t>
      </w:r>
    </w:p>
    <w:p w14:paraId="53B5D5F9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01DEA513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Odpisy dlhodobého hmotného majetku sú stanovené vychádzajúc z predpokladanej doby jeho používania a predpokladaného priebehu jeho opotrebenia. Odpisovať sa začína prvým dňom mesiaca nasledujúceho po uvedení dlhodobého majetku do používania. Drobný dlhodobý hmotný majetok, ktorého obstarávacia cena (resp. vlastné náklady) je 1 700 EUR a nižšia, sa odpisuje jednorazovo pri uvedení do používania. Pozemky sa neodpisujú. Predpokladaná doba používania, metóda odpisovania a odpisová sadzba sú uvedené v nasledujúcej tabuľke:</w:t>
      </w:r>
    </w:p>
    <w:p w14:paraId="556F87CB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142"/>
        <w:gridCol w:w="1985"/>
        <w:gridCol w:w="141"/>
        <w:gridCol w:w="1701"/>
        <w:gridCol w:w="142"/>
        <w:gridCol w:w="2269"/>
      </w:tblGrid>
      <w:tr w:rsidR="00CD0101" w:rsidRPr="00F730ED" w14:paraId="116B8608" w14:textId="77777777" w:rsidTr="008C4389">
        <w:trPr>
          <w:trHeight w:val="250"/>
        </w:trPr>
        <w:tc>
          <w:tcPr>
            <w:tcW w:w="3118" w:type="dxa"/>
            <w:gridSpan w:val="2"/>
          </w:tcPr>
          <w:p w14:paraId="32B951F0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</w:tcPr>
          <w:p w14:paraId="0A8930D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Predpokladaná</w:t>
            </w:r>
          </w:p>
        </w:tc>
        <w:tc>
          <w:tcPr>
            <w:tcW w:w="141" w:type="dxa"/>
          </w:tcPr>
          <w:p w14:paraId="4C237AFA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8319E9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Metóda</w:t>
            </w:r>
          </w:p>
        </w:tc>
        <w:tc>
          <w:tcPr>
            <w:tcW w:w="142" w:type="dxa"/>
          </w:tcPr>
          <w:p w14:paraId="729EC60C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</w:tcPr>
          <w:p w14:paraId="5020B27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Ročná odpisová</w:t>
            </w:r>
          </w:p>
        </w:tc>
      </w:tr>
      <w:tr w:rsidR="00CD0101" w:rsidRPr="00F730ED" w14:paraId="113E633A" w14:textId="77777777" w:rsidTr="008C4389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65018B9D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0755F469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078E029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14:paraId="6E0709CA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F0F728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2EA9B7D4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14:paraId="3FFE137C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sadzba</w:t>
            </w:r>
          </w:p>
        </w:tc>
      </w:tr>
      <w:tr w:rsidR="00CD0101" w:rsidRPr="00F730ED" w14:paraId="7DF48269" w14:textId="77777777" w:rsidTr="008C4389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  <w:vAlign w:val="center"/>
          </w:tcPr>
          <w:p w14:paraId="2171601E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Stavby</w:t>
            </w:r>
            <w:r>
              <w:rPr>
                <w:color w:val="auto"/>
                <w:sz w:val="22"/>
                <w:szCs w:val="22"/>
              </w:rPr>
              <w:t xml:space="preserve"> - vlastné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158133A5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60</w:t>
            </w:r>
          </w:p>
        </w:tc>
        <w:tc>
          <w:tcPr>
            <w:tcW w:w="141" w:type="dxa"/>
            <w:tcBorders>
              <w:top w:val="single" w:sz="4" w:space="0" w:color="auto"/>
            </w:tcBorders>
            <w:vAlign w:val="center"/>
          </w:tcPr>
          <w:p w14:paraId="18A70521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5A7C81B4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  <w:vAlign w:val="center"/>
          </w:tcPr>
          <w:p w14:paraId="7588B180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auto"/>
            </w:tcBorders>
            <w:vAlign w:val="center"/>
          </w:tcPr>
          <w:p w14:paraId="180E76E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1,6667</w:t>
            </w:r>
          </w:p>
        </w:tc>
      </w:tr>
      <w:tr w:rsidR="00CD0101" w:rsidRPr="00F730ED" w14:paraId="59BD304D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283BF812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Stavby - prenajaté a ich technické zhodnotenie</w:t>
            </w:r>
          </w:p>
        </w:tc>
        <w:tc>
          <w:tcPr>
            <w:tcW w:w="1985" w:type="dxa"/>
            <w:vAlign w:val="center"/>
          </w:tcPr>
          <w:p w14:paraId="1FA8A32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20</w:t>
            </w:r>
          </w:p>
        </w:tc>
        <w:tc>
          <w:tcPr>
            <w:tcW w:w="141" w:type="dxa"/>
            <w:vAlign w:val="center"/>
          </w:tcPr>
          <w:p w14:paraId="2388F0FB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7919BC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08123641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3DB812FC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5</w:t>
            </w:r>
          </w:p>
        </w:tc>
      </w:tr>
      <w:tr w:rsidR="00CD0101" w:rsidRPr="00F730ED" w14:paraId="0822E356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49F2E33F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Stroje, prístroje a zariadenia</w:t>
            </w:r>
          </w:p>
        </w:tc>
        <w:tc>
          <w:tcPr>
            <w:tcW w:w="1985" w:type="dxa"/>
            <w:vAlign w:val="center"/>
          </w:tcPr>
          <w:p w14:paraId="0604C99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6 až 12</w:t>
            </w:r>
          </w:p>
        </w:tc>
        <w:tc>
          <w:tcPr>
            <w:tcW w:w="141" w:type="dxa"/>
            <w:vAlign w:val="center"/>
          </w:tcPr>
          <w:p w14:paraId="00B6A0AB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93E686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6A393986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3060AEE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16,6 až 8,3</w:t>
            </w:r>
          </w:p>
        </w:tc>
      </w:tr>
      <w:tr w:rsidR="00CD0101" w:rsidRPr="00F730ED" w14:paraId="502F4457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3D7800AE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Dopravné prostriedky</w:t>
            </w:r>
          </w:p>
        </w:tc>
        <w:tc>
          <w:tcPr>
            <w:tcW w:w="1985" w:type="dxa"/>
            <w:vAlign w:val="center"/>
          </w:tcPr>
          <w:p w14:paraId="3FBEF405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4 až 6</w:t>
            </w:r>
          </w:p>
        </w:tc>
        <w:tc>
          <w:tcPr>
            <w:tcW w:w="141" w:type="dxa"/>
            <w:vAlign w:val="center"/>
          </w:tcPr>
          <w:p w14:paraId="1BA4315F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506BCEB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6E8A27B5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45224EA1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25 až 16,6</w:t>
            </w:r>
          </w:p>
        </w:tc>
      </w:tr>
      <w:tr w:rsidR="00CD0101" w:rsidRPr="00F730ED" w14:paraId="2A16067E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405D8CE1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Drobný dlhodobý hmotný majetok</w:t>
            </w:r>
          </w:p>
        </w:tc>
        <w:tc>
          <w:tcPr>
            <w:tcW w:w="1985" w:type="dxa"/>
            <w:vAlign w:val="center"/>
          </w:tcPr>
          <w:p w14:paraId="5FF27452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" w:type="dxa"/>
            <w:vAlign w:val="center"/>
          </w:tcPr>
          <w:p w14:paraId="73654CCC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040143D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jednorazový odpis</w:t>
            </w:r>
          </w:p>
        </w:tc>
        <w:tc>
          <w:tcPr>
            <w:tcW w:w="142" w:type="dxa"/>
            <w:vAlign w:val="center"/>
          </w:tcPr>
          <w:p w14:paraId="055531D2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3064E79C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100</w:t>
            </w:r>
          </w:p>
        </w:tc>
      </w:tr>
    </w:tbl>
    <w:p w14:paraId="2A03D9CE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ab/>
      </w:r>
    </w:p>
    <w:p w14:paraId="70C778FE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Metódy odpisovania, doby použiteľnosti a zostatkové hodnoty sa prehodnocujú ku dňu, ku ktorému sa zostavuje účtovná závierka, a ak je potrebné urobia sa úpravy.</w:t>
      </w:r>
    </w:p>
    <w:p w14:paraId="2F799B37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67445908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  <w:i/>
        </w:rPr>
      </w:pPr>
      <w:r w:rsidRPr="00F730ED">
        <w:rPr>
          <w:rFonts w:ascii="Times New Roman" w:hAnsi="Times New Roman" w:cs="Times New Roman"/>
          <w:b/>
          <w:i/>
        </w:rPr>
        <w:t>Posúdenie zníženia hodnoty majetku</w:t>
      </w:r>
    </w:p>
    <w:p w14:paraId="44186FC2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Opravné položky sa tvoria na základe zásady opatrnosti, ak je opodstatnené predpokladať, že došlo k zníženiu hodnoty majetku oproti jeho oceneniu v účtovníctve. Opravná položka sa účtuje v sume opodstatneného predpokladu zníženia hodnoty majetku oproti jeho oceneniu v účtovníctve.</w:t>
      </w:r>
    </w:p>
    <w:p w14:paraId="788435DF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0313A866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Faktory, ktoré sú považované za dôležité pri  posudzovaní zníženia hodnoty majetku sú: </w:t>
      </w:r>
    </w:p>
    <w:p w14:paraId="242FF240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technologický pokrok,</w:t>
      </w:r>
    </w:p>
    <w:p w14:paraId="5E6D46A2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významne nedostatočné prevádzkové výsledky v porovnaní s historickými alebo plánovanými prevádzkovými výsledkami,</w:t>
      </w:r>
    </w:p>
    <w:p w14:paraId="213BAD57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významné zmeny v spôsobe použitia majetku Spoločnosti alebo celkovej zmeny stratégie Spoločnosti,</w:t>
      </w:r>
    </w:p>
    <w:p w14:paraId="09759915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</w:r>
      <w:proofErr w:type="spellStart"/>
      <w:r w:rsidRPr="00F730ED">
        <w:rPr>
          <w:rFonts w:ascii="Times New Roman" w:hAnsi="Times New Roman" w:cs="Times New Roman"/>
        </w:rPr>
        <w:t>zastaralosť</w:t>
      </w:r>
      <w:proofErr w:type="spellEnd"/>
      <w:r w:rsidRPr="00F730ED">
        <w:rPr>
          <w:rFonts w:ascii="Times New Roman" w:hAnsi="Times New Roman" w:cs="Times New Roman"/>
        </w:rPr>
        <w:t xml:space="preserve"> produktov.</w:t>
      </w:r>
    </w:p>
    <w:p w14:paraId="7F7E7020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30A06FFD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Ak Spoločnosť zistí, že na základe existencie jedného alebo viacerých indikátorov zníženia hodnoty majetku možno predpokladať, že došlo k zníženiu hodnoty majetku oproti jeho oceneniu v účtovníctve, vypočíta zníženie hodnoty majetku na základe odhadov projektovaných čistých diskontovaných peňažných tokov, ktoré sa očakávajú z daného majetku, vrátane jeho prípadného predaja. Odhadované zníženie hodnoty by sa mohlo preukázať ako nedostatočné, ak by analýzy nadhodnotili peňažné toky alebo ak sa zmenia podmienky.</w:t>
      </w:r>
    </w:p>
    <w:p w14:paraId="15F51A33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6FACF78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EF63099" w14:textId="77777777" w:rsidR="00CD0101" w:rsidRDefault="00CD0101" w:rsidP="00CD0101">
      <w:pPr>
        <w:spacing w:after="0" w:line="276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2 b)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Dotácie poskytnuté na obstaranie majetku:</w:t>
      </w:r>
    </w:p>
    <w:p w14:paraId="15B316C1" w14:textId="77777777" w:rsidR="00CD0101" w:rsidRPr="00CC0138" w:rsidRDefault="00CD0101" w:rsidP="00CD0101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C013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žiadne</w:t>
      </w:r>
    </w:p>
    <w:p w14:paraId="127CB44C" w14:textId="77777777" w:rsidR="00CD0101" w:rsidRPr="00F730ED" w:rsidRDefault="00CD0101" w:rsidP="00CD0101">
      <w:pPr>
        <w:spacing w:after="0" w:line="276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51D7457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6605184D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3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Pohľadávky</w:t>
      </w:r>
    </w:p>
    <w:p w14:paraId="6C8234FC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A37A0C8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Pohľadávky pri ich vzniku sa oceňujú ich menovitou hodnotou; postúpené pohľadávky a pohľadávky nadobudnuté vkladom do základného imania sa oceňujú obstarávacou cenou vrátane nákladov súvisiacich s obstaraním. Toto ocenenie sa znižuje o pochybné a nevymožiteľné pohľadávky.</w:t>
      </w:r>
    </w:p>
    <w:p w14:paraId="231FEE9A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B114A89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Finančné účty</w:t>
      </w:r>
    </w:p>
    <w:p w14:paraId="01653347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26CE58A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Finančné účty tvorí peňažná hotovosť, ceniny, zostatky na bankových účtoch a oceňujú sa menovitou hodnotou. Zníženie ich hodnoty sa vyjadruje opravnou položkou.</w:t>
      </w:r>
    </w:p>
    <w:p w14:paraId="46AEA232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4912CF2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III.5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Náklady budúcich období a príjmy budúcich období</w:t>
      </w:r>
    </w:p>
    <w:p w14:paraId="40761ABA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DEC311B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Náklady budúcich období a príjmy budúcich období sa vykazujú vo výške, ktorá je potrebná na dodržanie zásady vecnej a časovej súvislosti s účtovným obdobím.</w:t>
      </w:r>
    </w:p>
    <w:p w14:paraId="3924A2FD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D8D9701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III.6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Rezervy</w:t>
      </w:r>
    </w:p>
    <w:p w14:paraId="4BE6EC1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4FAEE7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Rezerva je záväzok predstavujúci existujúcu povinnosť Spoločnosti, ktorá vznikla z minulých udalostí a je pravdepodobné, že v budúcnosti zníži jej ekonomické úžitky. Rezervy sú záväzky s neurčitým časovým vymedzením alebo výškou a oceňujú sa odhadom v sume potrebnej na splnenie existujúcej povinnosti ku dňu, ku ktorému sa zostavuje účtovná závierka.</w:t>
      </w:r>
    </w:p>
    <w:p w14:paraId="599B1E1A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EDEA164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Tvorba rezervy sa účtuje na vecne príslušný nákladový alebo majetkový účet, ku ktorému záväzok prislúcha. Použitie rezervy sa účtuje na ťarchu vecne príslušného účtu rezerv so súvzťažným zápisom v prospech vecne príslušného účtu záväzkov. Rozpustenie nepotrebnej rezervy alebo jej časti sa účtuje opačným účtovným zápisom ako sa účtovala tvorba rezervy. </w:t>
      </w:r>
    </w:p>
    <w:p w14:paraId="2DE239EB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AD4B5E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Tvorba rezervy na bonusy, rabaty, skontá a vrátenie kúpnej ceny pri reklamácii sa účtuje ako zníženie pôvodne dosiahnutých výnosov so súvzťažným zápisom v prospech účtu rezerv. </w:t>
      </w:r>
    </w:p>
    <w:p w14:paraId="2D52337C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58DDF1C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Rezervy na nevyfakturované dodávky majetku sa nevykazujú s vplyvom na výsledok hospodárenia a oceňujú sa v odhadovanej výške záväzku.</w:t>
      </w:r>
    </w:p>
    <w:p w14:paraId="6EB4FE73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0927458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III.7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Záväzky</w:t>
      </w:r>
    </w:p>
    <w:p w14:paraId="7D86237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E0B81B8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Záväzky pri ich vzniku sa oceňujú menovitou hodnotou. Záväzky pri ich prevzatí sa oceňujú obstarávacou cenou. Ak sa pri inventarizácii zistí, že suma záväzkov je iná ako ich výška v účtovníctve, uvedú sa záväzky v účtovníctve a v účtovnej závierke v tomto zistenom ocenení.</w:t>
      </w:r>
    </w:p>
    <w:p w14:paraId="3A7C427E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C0F9CA9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III.8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Výdavky budúcich období a výnosy budúcich období</w:t>
      </w:r>
    </w:p>
    <w:p w14:paraId="0DF9E4C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6CA508D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Výdavky budúcich období a výnosy budúcich období sa vykazujú vo výške, ktorá je potrebná na dodržanie zásady vecnej a časovej súvislosti s účtovným obdobím.</w:t>
      </w:r>
    </w:p>
    <w:p w14:paraId="5A811C25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6219900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9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Výnosy</w:t>
      </w:r>
    </w:p>
    <w:p w14:paraId="71F75B8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97E6125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Tržby za vlastné výkony a tovar neobsahujú daň z pridanej hodnoty. Sú tiež znížené o zľavy a zrážky (rabaty, bonusy, skontá, dobropisy a pod.), bez ohľadu na to, či zákazník mal vopred na zľavu nárok, alebo či ide o dodatočne uznanú zľavu.</w:t>
      </w:r>
    </w:p>
    <w:p w14:paraId="406196E4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AE6897B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Tržby z predaja výrobkov a tovaru sa vykazujú v deň splnenia dodávky podľa Obchodného zákonníka, podľa </w:t>
      </w:r>
      <w:proofErr w:type="spellStart"/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Incoterms</w:t>
      </w:r>
      <w:proofErr w:type="spellEnd"/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alebo iných podmienok dohodnutých v zmluve. </w:t>
      </w:r>
    </w:p>
    <w:p w14:paraId="79354005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AE60844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Tržby z predaja služieb sa vykazujú v účtovnom období, v ktorom boli služby poskytnuté.</w:t>
      </w:r>
    </w:p>
    <w:p w14:paraId="35D7C35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Výnosové úroky sa účtujú rovnomerne v účtovných obdobiach, ktorých sa vecne a časovo týkajú / na základe časového rozlíšenia metódou efektívnej úrokovej miery.</w:t>
      </w:r>
    </w:p>
    <w:p w14:paraId="316DA1A5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5DF03E4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Výnosy z dividend sa zaúčtujú v čase vzniku práva Spoločnosti na prijatie platby.</w:t>
      </w:r>
    </w:p>
    <w:p w14:paraId="67A53092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7453CB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636ECA1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10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Porovnateľné údaje</w:t>
      </w:r>
    </w:p>
    <w:p w14:paraId="4420C68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86C6A4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Ak v dôsledku zmeny účtovných metód a účtovných zásad nie sú hodnoty za bezprostredne predchádzajúce účtovné obdobie v jednotlivých súčastiach účtovnej závierky porovnateľné, uvádza sa vysvetlenie o neporovnateľných hodnotách v poznámkach. </w:t>
      </w:r>
    </w:p>
    <w:p w14:paraId="549AACFA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CEAE490" w14:textId="77777777" w:rsidR="00CD0101" w:rsidRPr="00F730ED" w:rsidRDefault="00CD0101" w:rsidP="00CD0101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14:paraId="6A4F37CF" w14:textId="77777777" w:rsidR="00CD0101" w:rsidRPr="00F730ED" w:rsidRDefault="00CD0101" w:rsidP="00CD0101">
      <w:pPr>
        <w:spacing w:after="0" w:line="276" w:lineRule="auto"/>
        <w:ind w:left="992" w:hanging="992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IV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Informácie, ktoré vysvetľujú a dopĺňajú položky súvahy a výkazu ziskov a strát</w:t>
      </w:r>
    </w:p>
    <w:p w14:paraId="7C1CF5AF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</w:rPr>
      </w:pPr>
    </w:p>
    <w:p w14:paraId="7E0A3394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IV. 1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p w14:paraId="6869C274" w14:textId="77777777" w:rsidR="00CD0101" w:rsidRDefault="00CD0101" w:rsidP="00CD0101">
      <w:pPr>
        <w:pStyle w:val="Zkladntext"/>
        <w:ind w:left="0"/>
        <w:rPr>
          <w:sz w:val="22"/>
          <w:szCs w:val="22"/>
        </w:rPr>
      </w:pPr>
    </w:p>
    <w:p w14:paraId="3C55C890" w14:textId="77777777" w:rsidR="00CD0101" w:rsidRPr="00F730ED" w:rsidRDefault="00CD0101" w:rsidP="00CD0101">
      <w:pPr>
        <w:pStyle w:val="Zkladntext"/>
        <w:ind w:left="0"/>
        <w:rPr>
          <w:sz w:val="22"/>
          <w:szCs w:val="22"/>
        </w:rPr>
      </w:pPr>
      <w:r w:rsidRPr="00F730ED">
        <w:rPr>
          <w:sz w:val="22"/>
          <w:szCs w:val="22"/>
        </w:rPr>
        <w:t>Štruktúra záväzkov (okrem záväzkov zo sociálneho fondu a odloženého daňového záväzku) podľa zostatkovej doby splatnosti je uvedená v nasledujúcom prehľade:</w:t>
      </w:r>
    </w:p>
    <w:p w14:paraId="41FC0FC8" w14:textId="77777777" w:rsidR="00CD0101" w:rsidRPr="00F730ED" w:rsidRDefault="00CD0101" w:rsidP="00CD0101">
      <w:pPr>
        <w:pStyle w:val="Zkladntext"/>
        <w:rPr>
          <w:sz w:val="22"/>
          <w:szCs w:val="22"/>
        </w:rPr>
      </w:pPr>
    </w:p>
    <w:bookmarkStart w:id="0" w:name="_MON_1450595791"/>
    <w:bookmarkEnd w:id="0"/>
    <w:p w14:paraId="7DF652D4" w14:textId="69E83EE4" w:rsidR="00CD0101" w:rsidRPr="00F730ED" w:rsidRDefault="002C5478" w:rsidP="00CD0101">
      <w:pPr>
        <w:ind w:left="426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object w:dxaOrig="8951" w:dyaOrig="2445" w14:anchorId="154DF75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439.2pt;height:133.8pt" o:ole="" o:preferrelative="f">
            <v:imagedata r:id="rId7" o:title=""/>
            <o:lock v:ext="edit" aspectratio="f"/>
          </v:shape>
          <o:OLEObject Type="Embed" ProgID="Excel.Sheet.12" ShapeID="_x0000_i1031" DrawAspect="Content" ObjectID="_1772811112" r:id="rId8"/>
        </w:object>
      </w:r>
    </w:p>
    <w:p w14:paraId="6DD493C9" w14:textId="77777777" w:rsidR="00CD0101" w:rsidRPr="00F730ED" w:rsidRDefault="00CD0101" w:rsidP="00A910FC">
      <w:pPr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V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iných aktívach a iných pasívach</w:t>
      </w:r>
    </w:p>
    <w:p w14:paraId="0F368121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</w:rPr>
      </w:pPr>
    </w:p>
    <w:p w14:paraId="39049340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a)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podmienenom majetku</w:t>
      </w:r>
    </w:p>
    <w:p w14:paraId="7F91C3EE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neeviduje podmienený majetok.</w:t>
      </w:r>
    </w:p>
    <w:p w14:paraId="16167ED2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80BED6A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CA0055F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b)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podmienených záväzkoch</w:t>
      </w:r>
    </w:p>
    <w:p w14:paraId="21FB161C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Vzhľadom na to, že mnohé oblasti slovenského daňového práva doteraz neboli dostatočne overené praxou, existuje neistota v tom, ako ich budú daňové orgány aplikovať. Mieru tejto neistoty nie je možné kvantifikovať a zanikne až potom, keď budú k dispozícii právne precedensy, prípadne oficiálne interpretácie príslušných orgánov. Vedenie Spoločnosti si nie je vedomé žiadnych okolností, v dôsledku ktorých by jej vznikol významný náklad.</w:t>
      </w:r>
    </w:p>
    <w:p w14:paraId="388BE8BE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A6CA02E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449F8C6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3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údajoch na podsúvahových účtoch</w:t>
      </w:r>
    </w:p>
    <w:p w14:paraId="04D9ABA2" w14:textId="77777777" w:rsidR="00CD0101" w:rsidRPr="00CC0138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C0138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   - žiadne</w:t>
      </w:r>
    </w:p>
    <w:p w14:paraId="2D9A285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:color w:val="4472C4" w:themeColor="accent1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E096353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VI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 Udalosti, ktoré nastali po dni, ku ktorému sa zostavuje účtovná závierka</w:t>
      </w:r>
    </w:p>
    <w:p w14:paraId="19342DF6" w14:textId="77777777" w:rsidR="00CD0101" w:rsidRPr="00F730ED" w:rsidRDefault="00CD0101" w:rsidP="00CD0101">
      <w:pPr>
        <w:spacing w:after="0" w:line="276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 j)   Udalosti, ktoré nastali po dni, ku ktorému sa zostavuje účtovná závierka</w:t>
      </w:r>
    </w:p>
    <w:p w14:paraId="01D402CC" w14:textId="77777777" w:rsidR="00CD0101" w:rsidRPr="00F730ED" w:rsidRDefault="00CD0101" w:rsidP="00CD0101">
      <w:pPr>
        <w:tabs>
          <w:tab w:val="left" w:pos="3150"/>
        </w:tabs>
        <w:spacing w:after="0" w:line="276" w:lineRule="auto"/>
        <w:rPr>
          <w:rFonts w:ascii="Times New Roman" w:eastAsia="MS Gothic" w:hAnsi="Times New Roman" w:cs="Times New Roman"/>
        </w:rPr>
      </w:pPr>
    </w:p>
    <w:p w14:paraId="3D7C0A13" w14:textId="6B572D6B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neidentifikovala žiadne skutočnosti medzi dňom, ku ktorému sa účtovná závierka zostavuje a dňom zostavenia účtovnej závierky, ktoré by mali významný vplyv na výsledok hospodárenia Spoločnosti prípadne na celkovú finančnú situáciu Spoločnosti za obdobie od 1. januára 20</w:t>
      </w:r>
      <w:r w:rsidR="007767F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 w:rsidR="002C5478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do 31. decembra 20</w:t>
      </w:r>
      <w:r w:rsidR="007767F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 w:rsidR="002C5478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5A9B5D0F" w14:textId="77777777" w:rsidR="00726BBB" w:rsidRDefault="00726BBB"/>
    <w:sectPr w:rsidR="00726BBB" w:rsidSect="00FB3281">
      <w:headerReference w:type="default" r:id="rId9"/>
      <w:footerReference w:type="default" r:id="rId10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D07868" w14:textId="77777777" w:rsidR="000D4939" w:rsidRDefault="000D4939">
      <w:pPr>
        <w:spacing w:after="0" w:line="240" w:lineRule="auto"/>
      </w:pPr>
      <w:r>
        <w:separator/>
      </w:r>
    </w:p>
  </w:endnote>
  <w:endnote w:type="continuationSeparator" w:id="0">
    <w:p w14:paraId="5ED1E099" w14:textId="77777777" w:rsidR="000D4939" w:rsidRDefault="000D49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3C1FC" w14:textId="77777777" w:rsidR="002C5478" w:rsidRPr="00F17E37" w:rsidRDefault="00993620" w:rsidP="00195651">
    <w:pPr>
      <w:pStyle w:val="Pta"/>
      <w:jc w:val="center"/>
      <w:rPr>
        <w:rFonts w:ascii="Times New Roman" w:hAnsi="Times New Roman" w:cs="Times New Roman"/>
        <w:color w:val="808080" w:themeColor="background1" w:themeShade="80"/>
        <w:sz w:val="16"/>
        <w:szCs w:val="16"/>
      </w:rPr>
    </w:pPr>
    <w:r w:rsidRPr="00F17E37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Strana 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begin"/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instrText>PAGE  \* Arabic  \* MERGEFORMAT</w:instrTex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noProof/>
        <w:color w:val="808080" w:themeColor="background1" w:themeShade="80"/>
        <w:sz w:val="16"/>
        <w:szCs w:val="16"/>
      </w:rPr>
      <w:t>5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end"/>
    </w:r>
    <w:r w:rsidRPr="00F17E37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 z 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begin"/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instrText>NUMPAGES  \* Arabic  \* MERGEFORMAT</w:instrTex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noProof/>
        <w:color w:val="808080" w:themeColor="background1" w:themeShade="80"/>
        <w:sz w:val="16"/>
        <w:szCs w:val="16"/>
      </w:rPr>
      <w:t>6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33A428" w14:textId="77777777" w:rsidR="000D4939" w:rsidRDefault="000D4939">
      <w:pPr>
        <w:spacing w:after="0" w:line="240" w:lineRule="auto"/>
      </w:pPr>
      <w:r>
        <w:separator/>
      </w:r>
    </w:p>
  </w:footnote>
  <w:footnote w:type="continuationSeparator" w:id="0">
    <w:p w14:paraId="7CAE4722" w14:textId="77777777" w:rsidR="000D4939" w:rsidRDefault="000D49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riekatabuky"/>
      <w:tblW w:w="9614" w:type="dxa"/>
      <w:tblLayout w:type="fixed"/>
      <w:tblLook w:val="04A0" w:firstRow="1" w:lastRow="0" w:firstColumn="1" w:lastColumn="0" w:noHBand="0" w:noVBand="1"/>
    </w:tblPr>
    <w:tblGrid>
      <w:gridCol w:w="2694"/>
      <w:gridCol w:w="708"/>
      <w:gridCol w:w="297"/>
      <w:gridCol w:w="297"/>
      <w:gridCol w:w="297"/>
      <w:gridCol w:w="297"/>
      <w:gridCol w:w="297"/>
      <w:gridCol w:w="297"/>
      <w:gridCol w:w="297"/>
      <w:gridCol w:w="297"/>
      <w:gridCol w:w="866"/>
      <w:gridCol w:w="297"/>
      <w:gridCol w:w="297"/>
      <w:gridCol w:w="297"/>
      <w:gridCol w:w="297"/>
      <w:gridCol w:w="297"/>
      <w:gridCol w:w="297"/>
      <w:gridCol w:w="297"/>
      <w:gridCol w:w="297"/>
      <w:gridCol w:w="297"/>
      <w:gridCol w:w="297"/>
    </w:tblGrid>
    <w:tr w:rsidR="00B8325F" w14:paraId="01B33137" w14:textId="77777777" w:rsidTr="003B6528">
      <w:trPr>
        <w:trHeight w:val="138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14:paraId="13E904EA" w14:textId="77777777" w:rsidR="002C5478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ind w:left="-108" w:right="-121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 xml:space="preserve">Poznámky </w:t>
          </w:r>
          <w:proofErr w:type="spellStart"/>
          <w:r w:rsidRPr="0018540B">
            <w:rPr>
              <w:rFonts w:ascii="Times New Roman" w:hAnsi="Times New Roman" w:cs="Times New Roman"/>
              <w:szCs w:val="24"/>
            </w:rPr>
            <w:t>Úč</w:t>
          </w:r>
          <w:proofErr w:type="spellEnd"/>
          <w:r w:rsidRPr="0018540B">
            <w:rPr>
              <w:rFonts w:ascii="Times New Roman" w:hAnsi="Times New Roman" w:cs="Times New Roman"/>
              <w:szCs w:val="24"/>
            </w:rPr>
            <w:t xml:space="preserve"> PODV 3 – 01</w:t>
          </w:r>
        </w:p>
      </w:tc>
      <w:tc>
        <w:tcPr>
          <w:tcW w:w="708" w:type="dxa"/>
          <w:tcBorders>
            <w:top w:val="nil"/>
            <w:left w:val="nil"/>
            <w:bottom w:val="nil"/>
            <w:right w:val="single" w:sz="4" w:space="0" w:color="auto"/>
          </w:tcBorders>
        </w:tcPr>
        <w:p w14:paraId="6D6E3D20" w14:textId="77777777" w:rsidR="002C5478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IČO: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392BF6B4" w14:textId="77777777" w:rsidR="002C5478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14:paraId="66A41774" w14:textId="77777777" w:rsidR="002C5478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4024A298" w14:textId="77777777" w:rsidR="002C5478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14:paraId="587E78CF" w14:textId="77777777" w:rsidR="002C5478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</w:tcPr>
        <w:p w14:paraId="06ED8401" w14:textId="77777777" w:rsidR="002C5478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60EDD5EE" w14:textId="77777777" w:rsidR="002C5478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14:paraId="1F34F4D0" w14:textId="77777777" w:rsidR="002C5478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  <w:tcBorders>
            <w:right w:val="single" w:sz="4" w:space="0" w:color="auto"/>
          </w:tcBorders>
        </w:tcPr>
        <w:p w14:paraId="4DA091E0" w14:textId="77777777" w:rsidR="002C5478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866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24090EB3" w14:textId="77777777" w:rsidR="002C5478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0A85B815" w14:textId="77777777" w:rsidR="002C5478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46F3A2F1" w14:textId="77777777" w:rsidR="002C5478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14:paraId="0BBEE2ED" w14:textId="77777777" w:rsidR="002C5478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35145CBD" w14:textId="77777777" w:rsidR="002C5478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693692CD" w14:textId="77777777" w:rsidR="002C5478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</w:tcPr>
        <w:p w14:paraId="6DAAC200" w14:textId="77777777" w:rsidR="002C5478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14:paraId="4AE159AF" w14:textId="77777777" w:rsidR="002C5478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423A66C4" w14:textId="77777777" w:rsidR="002C5478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14:paraId="55853F06" w14:textId="77777777" w:rsidR="002C5478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</w:tcPr>
        <w:p w14:paraId="73CFB081" w14:textId="77777777" w:rsidR="002C5478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  <w:r>
            <w:rPr>
              <w:rFonts w:ascii="Times New Roman" w:hAnsi="Times New Roman" w:cs="Times New Roman"/>
              <w:position w:val="2"/>
              <w:szCs w:val="24"/>
            </w:rPr>
            <w:t>6</w:t>
          </w:r>
        </w:p>
      </w:tc>
    </w:tr>
  </w:tbl>
  <w:p w14:paraId="5273B145" w14:textId="77777777" w:rsidR="002C5478" w:rsidRPr="00CE03EC" w:rsidRDefault="002C5478" w:rsidP="00E84CA1">
    <w:pPr>
      <w:pStyle w:val="Hlavika"/>
      <w:tabs>
        <w:tab w:val="clear" w:pos="4536"/>
        <w:tab w:val="clear" w:pos="9072"/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7E0AB7"/>
    <w:multiLevelType w:val="hybridMultilevel"/>
    <w:tmpl w:val="72D865A6"/>
    <w:lvl w:ilvl="0" w:tplc="B76671AC">
      <w:start w:val="1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891530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101"/>
    <w:rsid w:val="000236F7"/>
    <w:rsid w:val="000D4939"/>
    <w:rsid w:val="002C5478"/>
    <w:rsid w:val="002D1E37"/>
    <w:rsid w:val="004405D3"/>
    <w:rsid w:val="004930EC"/>
    <w:rsid w:val="004E2FB5"/>
    <w:rsid w:val="00614FF5"/>
    <w:rsid w:val="00726BBB"/>
    <w:rsid w:val="007767F9"/>
    <w:rsid w:val="008B7638"/>
    <w:rsid w:val="008F2CC3"/>
    <w:rsid w:val="00925F02"/>
    <w:rsid w:val="00960B74"/>
    <w:rsid w:val="00993620"/>
    <w:rsid w:val="00A910FC"/>
    <w:rsid w:val="00BB6843"/>
    <w:rsid w:val="00CD0101"/>
    <w:rsid w:val="00D10D8B"/>
    <w:rsid w:val="00E20ED4"/>
    <w:rsid w:val="00F612FD"/>
    <w:rsid w:val="00FB1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746DCC5"/>
  <w15:chartTrackingRefBased/>
  <w15:docId w15:val="{1E98B808-7D31-40AB-8160-CFEF8BB4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D010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D0101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D0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D0101"/>
  </w:style>
  <w:style w:type="paragraph" w:styleId="Pta">
    <w:name w:val="footer"/>
    <w:basedOn w:val="Normlny"/>
    <w:link w:val="PtaChar"/>
    <w:uiPriority w:val="99"/>
    <w:unhideWhenUsed/>
    <w:rsid w:val="00CD0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D0101"/>
  </w:style>
  <w:style w:type="table" w:styleId="Mriekatabuky">
    <w:name w:val="Table Grid"/>
    <w:basedOn w:val="Normlnatabuka"/>
    <w:uiPriority w:val="39"/>
    <w:rsid w:val="00CD01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">
    <w:name w:val="Tabulka"/>
    <w:basedOn w:val="Normlny"/>
    <w:rsid w:val="00CD0101"/>
    <w:pPr>
      <w:spacing w:after="0" w:line="240" w:lineRule="auto"/>
    </w:pPr>
    <w:rPr>
      <w:rFonts w:ascii="Times New Roman" w:eastAsia="Times New Roman" w:hAnsi="Times New Roman" w:cs="Times New Roman"/>
      <w:color w:val="000000"/>
      <w:sz w:val="18"/>
      <w:szCs w:val="20"/>
    </w:rPr>
  </w:style>
  <w:style w:type="paragraph" w:styleId="Zkladntext">
    <w:name w:val="Body Text"/>
    <w:basedOn w:val="Normlny"/>
    <w:link w:val="ZkladntextChar"/>
    <w:rsid w:val="00CD0101"/>
    <w:pPr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18"/>
      <w:szCs w:val="20"/>
    </w:rPr>
  </w:style>
  <w:style w:type="character" w:customStyle="1" w:styleId="ZkladntextChar">
    <w:name w:val="Základný text Char"/>
    <w:basedOn w:val="Predvolenpsmoodseku"/>
    <w:link w:val="Zkladntext"/>
    <w:rsid w:val="00CD0101"/>
    <w:rPr>
      <w:rFonts w:ascii="Times New Roman" w:eastAsia="Times New Roman" w:hAnsi="Times New Roman" w:cs="Times New Roman"/>
      <w:sz w:val="18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D1E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D1E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1420</Words>
  <Characters>8097</Characters>
  <Application>Microsoft Office Word</Application>
  <DocSecurity>0</DocSecurity>
  <Lines>67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Miklošíková</dc:creator>
  <cp:keywords/>
  <dc:description/>
  <cp:lastModifiedBy>Daniela Miklošíková</cp:lastModifiedBy>
  <cp:revision>6</cp:revision>
  <cp:lastPrinted>2019-03-20T13:29:00Z</cp:lastPrinted>
  <dcterms:created xsi:type="dcterms:W3CDTF">2023-06-26T16:23:00Z</dcterms:created>
  <dcterms:modified xsi:type="dcterms:W3CDTF">2024-03-24T17:45:00Z</dcterms:modified>
</cp:coreProperties>
</file>