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line="140" w:lineRule="exact"/>
        <w:rPr>
          <w:sz w:val="14"/>
          <w:szCs w:val="14"/>
          <w:lang w:val="en-US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za rok 202</w:t>
      </w:r>
      <w:r>
        <w:rPr>
          <w:rFonts w:hint="default" w:ascii="Arial Narrow" w:hAnsi="Arial Narrow"/>
          <w:b/>
          <w:lang w:val="sk-SK"/>
        </w:rPr>
        <w:t>3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ascii="Arial Narrow" w:hAnsi="Arial Narrow"/>
          <w:b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spacing w:before="7" w:line="240" w:lineRule="exact"/>
        <w:jc w:val="both"/>
        <w:rPr>
          <w:rFonts w:ascii="Arial" w:hAnsi="Arial" w:cs="Arial"/>
          <w:lang w:val="en-US"/>
        </w:rPr>
      </w:pPr>
    </w:p>
    <w:p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>
      <w:pPr>
        <w:spacing w:before="7" w:line="24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HAGRO ORAVA s.r.o.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53817362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</w:p>
    <w:p>
      <w:pPr>
        <w:spacing w:line="26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2</w:t>
            </w:r>
          </w:p>
        </w:tc>
        <w:tc>
          <w:tcPr>
            <w:tcW w:w="3342" w:type="dxa"/>
          </w:tcPr>
          <w:p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3</w:t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</w:p>
    <w:p>
      <w:pPr>
        <w:spacing w:before="1" w:line="280" w:lineRule="exact"/>
        <w:jc w:val="both"/>
        <w:rPr>
          <w:rFonts w:ascii="Arial" w:hAnsi="Arial" w:cs="Arial"/>
        </w:rPr>
      </w:pPr>
    </w:p>
    <w:p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>
      <w:pPr>
        <w:spacing w:before="11" w:line="26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účtovná jednotka bude pokračovať vo svojej činnosti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 381179,89€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u: 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 61935,59€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hint="default"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  <w:r>
        <w:rPr>
          <w:rFonts w:ascii="Arial" w:hAnsi="Arial" w:cs="Arial"/>
          <w:b/>
          <w:bCs/>
          <w:sz w:val="22"/>
          <w:szCs w:val="22"/>
        </w:rPr>
        <w:t xml:space="preserve">majetok </w:t>
      </w:r>
      <w:r>
        <w:rPr>
          <w:rFonts w:hint="default" w:ascii="Arial" w:hAnsi="Arial" w:cs="Arial"/>
          <w:b/>
          <w:bCs/>
          <w:sz w:val="22"/>
          <w:szCs w:val="22"/>
          <w:lang w:val="sk-SK"/>
        </w:rPr>
        <w:t>zaradený v prvej a druhej odpisovej skupine v hodnote 121 098,43 €, ročné účtovné odpisy 28 454,31 €. HM obstaraný v sume 49 500 € - nezaradený v roku 2023.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nie je náplň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hint="default"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hint="default" w:ascii="Arial" w:hAnsi="Arial" w:cs="Arial"/>
          <w:b/>
          <w:bCs/>
          <w:sz w:val="22"/>
          <w:szCs w:val="22"/>
          <w:lang w:val="sk-SK"/>
        </w:rPr>
        <w:t>nevýznamné chyby účtované na nerozdelený zisk min.období</w:t>
      </w:r>
    </w:p>
    <w:p>
      <w:pPr>
        <w:spacing w:before="1" w:line="280" w:lineRule="exact"/>
        <w:jc w:val="both"/>
        <w:rPr>
          <w:rFonts w:ascii="Arial" w:hAnsi="Arial" w:cs="Arial"/>
        </w:rPr>
      </w:pPr>
    </w:p>
    <w:p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>
      <w:pPr>
        <w:spacing w:before="11" w:line="26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b/>
          <w:bCs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</w:t>
      </w: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jeden spoločník – 100% podiel na základnom imaní, hodnota základného imania 5 000 €. </w:t>
      </w:r>
    </w:p>
    <w:bookmarkEnd w:id="0"/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  <w:p>
    <w:pPr>
      <w:pStyle w:val="7"/>
    </w:pPr>
  </w:p>
  <w:p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1234567890</w:t>
    </w:r>
  </w:p>
  <w:p>
    <w:pPr>
      <w:pStyle w:val="7"/>
      <w:rPr>
        <w:rFonts w:ascii="Times New Roman" w:hAnsi="Times New Roman" w:cs="Times New Roman"/>
        <w:sz w:val="24"/>
        <w:szCs w:val="24"/>
      </w:rPr>
    </w:pP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24D2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  <w:rsid w:val="791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uiPriority w:val="0"/>
  </w:style>
  <w:style w:type="character" w:customStyle="1" w:styleId="13">
    <w:name w:val="Päta Char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1019</Words>
  <Characters>5810</Characters>
  <Lines>48</Lines>
  <Paragraphs>13</Paragraphs>
  <TotalTime>11</TotalTime>
  <ScaleCrop>false</ScaleCrop>
  <LinksUpToDate>false</LinksUpToDate>
  <CharactersWithSpaces>6816</CharactersWithSpaces>
  <Application>WPS Office_12.2.0.13538_F1E327BC-269C-435d-A152-05C5408002CA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2022-05-18T13:44:00Z</dcterms:created>
  <dc:creator>maria</dc:creator>
  <cp:lastModifiedBy>apli</cp:lastModifiedBy>
  <dcterms:modified xsi:type="dcterms:W3CDTF">2024-03-28T08:01:25Z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5E30F29436224156956F601D45D04333_13</vt:lpwstr>
  </property>
</Properties>
</file>