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rStyle w:val="SubtleEmphasis"/>
          <w:i w:val="false"/>
          <w:i w:val="false"/>
          <w:iCs w:val="false"/>
        </w:rPr>
      </w:pPr>
      <w:r>
        <w:rPr>
          <w:i w:val="false"/>
          <w:iCs w:val="false"/>
        </w:rPr>
      </w:r>
    </w:p>
    <w:tbl>
      <w:tblPr>
        <w:tblStyle w:val="a"/>
        <w:tblW w:w="3297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297"/>
      </w:tblGrid>
      <w:tr>
        <w:trPr>
          <w:trHeight w:val="145" w:hRule="atLeast"/>
        </w:trPr>
        <w:tc>
          <w:tcPr>
            <w:tcW w:w="32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 xml:space="preserve">Poznámky (Úč NUJ 3 – 01) </w:t>
            </w:r>
          </w:p>
        </w:tc>
      </w:tr>
    </w:tbl>
    <w:p>
      <w:pPr>
        <w:pStyle w:val="Normal"/>
        <w:rPr>
          <w:rStyle w:val="SubtleEmphasis"/>
        </w:rPr>
      </w:pPr>
      <w:r>
        <w:rPr/>
      </w:r>
    </w:p>
    <w:p>
      <w:pPr>
        <w:pStyle w:val="Normal"/>
        <w:rPr>
          <w:rStyle w:val="SubtleEmphasis"/>
          <w:rFonts w:ascii="Arial Narrow" w:hAnsi="Arial Narrow"/>
          <w:b/>
          <w:b/>
          <w:bCs/>
          <w:i w:val="false"/>
          <w:i w:val="false"/>
          <w:iCs w:val="false"/>
        </w:rPr>
      </w:pPr>
      <w:r>
        <w:rPr>
          <w:rFonts w:ascii="Arial Narrow" w:hAnsi="Arial Narrow"/>
          <w:b/>
          <w:bCs/>
          <w:i w:val="false"/>
          <w:iCs w:val="false"/>
        </w:rPr>
      </w:r>
    </w:p>
    <w:p>
      <w:pPr>
        <w:pStyle w:val="Normal"/>
        <w:rPr>
          <w:rStyle w:val="SubtleEmphasis"/>
          <w:rFonts w:ascii="Arial Narrow" w:hAnsi="Arial Narrow"/>
          <w:b/>
          <w:b/>
          <w:bCs/>
          <w:i w:val="false"/>
          <w:i w:val="false"/>
          <w:iCs w:val="false"/>
        </w:rPr>
      </w:pPr>
      <w:r>
        <w:rPr>
          <w:rStyle w:val="SubtleEmphasis"/>
          <w:rFonts w:ascii="Arial Narrow" w:hAnsi="Arial Narrow"/>
          <w:b/>
          <w:bCs/>
          <w:i w:val="false"/>
          <w:iCs w:val="false"/>
        </w:rPr>
        <w:t xml:space="preserve"> </w:t>
      </w:r>
      <w:r>
        <w:rPr>
          <w:rStyle w:val="SubtleEmphasis"/>
          <w:rFonts w:ascii="Arial Narrow" w:hAnsi="Arial Narrow"/>
          <w:b/>
          <w:bCs/>
          <w:i w:val="false"/>
          <w:iCs w:val="false"/>
        </w:rPr>
        <w:tab/>
        <w:t>IČO</w:t>
      </w:r>
    </w:p>
    <w:tbl>
      <w:tblPr>
        <w:tblStyle w:val="a0"/>
        <w:tblW w:w="2321" w:type="dxa"/>
        <w:jc w:val="left"/>
        <w:tblInd w:w="983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88"/>
        <w:gridCol w:w="292"/>
        <w:gridCol w:w="288"/>
        <w:gridCol w:w="292"/>
        <w:gridCol w:w="290"/>
        <w:gridCol w:w="291"/>
        <w:gridCol w:w="278"/>
        <w:gridCol w:w="301"/>
      </w:tblGrid>
      <w:tr>
        <w:trPr>
          <w:trHeight w:val="293" w:hRule="atLeast"/>
        </w:trPr>
        <w:tc>
          <w:tcPr>
            <w:tcW w:w="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>4</w:t>
            </w:r>
          </w:p>
        </w:tc>
        <w:tc>
          <w:tcPr>
            <w:tcW w:w="2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>2</w:t>
            </w:r>
          </w:p>
        </w:tc>
        <w:tc>
          <w:tcPr>
            <w:tcW w:w="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>2</w:t>
            </w:r>
          </w:p>
        </w:tc>
        <w:tc>
          <w:tcPr>
            <w:tcW w:w="2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>4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>9</w:t>
            </w:r>
          </w:p>
        </w:tc>
        <w:tc>
          <w:tcPr>
            <w:tcW w:w="2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>3</w:t>
            </w:r>
          </w:p>
        </w:tc>
        <w:tc>
          <w:tcPr>
            <w:tcW w:w="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>7</w:t>
            </w:r>
          </w:p>
        </w:tc>
        <w:tc>
          <w:tcPr>
            <w:tcW w:w="3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  <w:rFonts w:ascii="Arial Narrow" w:hAnsi="Arial Narrow"/>
                <w:i w:val="false"/>
                <w:i w:val="false"/>
                <w:iCs w:val="false"/>
              </w:rPr>
            </w:pPr>
            <w:r>
              <w:rPr>
                <w:rStyle w:val="SubtleEmphasis"/>
                <w:rFonts w:ascii="Arial Narrow" w:hAnsi="Arial Narrow"/>
                <w:i w:val="false"/>
                <w:iCs w:val="false"/>
              </w:rPr>
              <w:t>6</w:t>
            </w:r>
          </w:p>
        </w:tc>
      </w:tr>
    </w:tbl>
    <w:p>
      <w:pPr>
        <w:pStyle w:val="Normal"/>
        <w:rPr>
          <w:rStyle w:val="SubtleEmphasis"/>
          <w:rFonts w:ascii="Arial Narrow" w:hAnsi="Arial Narrow"/>
          <w:b/>
          <w:b/>
          <w:bCs/>
          <w:i w:val="false"/>
          <w:i w:val="false"/>
          <w:iCs w:val="false"/>
        </w:rPr>
      </w:pPr>
      <w:r>
        <w:rPr>
          <w:rFonts w:ascii="Arial Narrow" w:hAnsi="Arial Narrow"/>
          <w:b/>
          <w:bCs/>
          <w:i w:val="false"/>
          <w:iCs w:val="false"/>
        </w:rPr>
      </w:r>
    </w:p>
    <w:p>
      <w:pPr>
        <w:pStyle w:val="Normal"/>
        <w:jc w:val="center"/>
        <w:rPr>
          <w:rStyle w:val="SubtleEmphasis"/>
          <w:rFonts w:ascii="Arial Narrow" w:hAnsi="Arial Narrow"/>
          <w:b/>
          <w:b/>
          <w:bCs/>
          <w:i w:val="false"/>
          <w:i w:val="false"/>
          <w:iCs w:val="false"/>
          <w:sz w:val="24"/>
          <w:szCs w:val="24"/>
        </w:rPr>
      </w:pPr>
      <w:r>
        <w:rPr>
          <w:rStyle w:val="SubtleEmphasis"/>
          <w:rFonts w:ascii="Arial Narrow" w:hAnsi="Arial Narrow"/>
          <w:b/>
          <w:bCs/>
          <w:i w:val="false"/>
          <w:iCs w:val="false"/>
          <w:sz w:val="24"/>
          <w:szCs w:val="24"/>
        </w:rPr>
        <w:t>Čl. I.</w:t>
      </w:r>
    </w:p>
    <w:p>
      <w:pPr>
        <w:pStyle w:val="Normal"/>
        <w:rPr>
          <w:rStyle w:val="SubtleEmphasis"/>
          <w:rFonts w:ascii="Arial Narrow" w:hAnsi="Arial Narrow"/>
          <w:b/>
          <w:b/>
          <w:bCs/>
          <w:i w:val="false"/>
          <w:i w:val="false"/>
          <w:iCs w:val="false"/>
        </w:rPr>
      </w:pPr>
      <w:r>
        <w:rPr>
          <w:rStyle w:val="SubtleEmphasis"/>
        </w:rPr>
        <w:tab/>
        <w:tab/>
        <w:tab/>
      </w:r>
      <w:r>
        <w:rPr>
          <w:rStyle w:val="SubtleEmphasis"/>
          <w:rFonts w:ascii="Arial Narrow" w:hAnsi="Arial Narrow"/>
          <w:b/>
          <w:bCs/>
          <w:i w:val="false"/>
          <w:iCs w:val="false"/>
        </w:rPr>
        <w:t>SID</w:t>
      </w:r>
    </w:p>
    <w:tbl>
      <w:tblPr>
        <w:tblStyle w:val="a1"/>
        <w:tblW w:w="1207" w:type="dxa"/>
        <w:jc w:val="left"/>
        <w:tblInd w:w="210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02"/>
        <w:gridCol w:w="302"/>
        <w:gridCol w:w="302"/>
        <w:gridCol w:w="300"/>
      </w:tblGrid>
      <w:tr>
        <w:trPr>
          <w:trHeight w:val="217" w:hRule="atLeast"/>
        </w:trPr>
        <w:tc>
          <w:tcPr>
            <w:tcW w:w="3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</w:rPr>
            </w:pPr>
            <w:r>
              <w:rPr/>
            </w:r>
          </w:p>
        </w:tc>
        <w:tc>
          <w:tcPr>
            <w:tcW w:w="3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</w:rPr>
            </w:pPr>
            <w:r>
              <w:rPr/>
            </w:r>
          </w:p>
        </w:tc>
        <w:tc>
          <w:tcPr>
            <w:tcW w:w="3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</w:rPr>
            </w:pPr>
            <w:r>
              <w:rPr/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Style w:val="SubtleEmphasis"/>
              </w:rPr>
            </w:pPr>
            <w:r>
              <w:rPr/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sectPr>
          <w:footerReference w:type="default" r:id="rId2"/>
          <w:type w:val="nextPage"/>
          <w:pgSz w:w="11906" w:h="16820"/>
          <w:pgMar w:left="1044" w:right="871" w:gutter="0" w:header="0" w:top="1281" w:footer="720" w:bottom="1200"/>
          <w:pgNumType w:start="1" w:fmt="decimal"/>
          <w:cols w:num="3" w:space="0" w:equalWidth="true" w:sep="false"/>
          <w:formProt w:val="false"/>
          <w:textDirection w:val="lrTb"/>
          <w:docGrid w:type="default" w:linePitch="100" w:charSpace="4096"/>
        </w:sectPr>
      </w:pPr>
    </w:p>
    <w:p>
      <w:pPr>
        <w:pStyle w:val="Normal"/>
        <w:widowControl w:val="false"/>
        <w:spacing w:lineRule="auto" w:line="240"/>
        <w:jc w:val="center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  <w:t>Všeobecné údaje</w:t>
      </w:r>
    </w:p>
    <w:p>
      <w:pPr>
        <w:pStyle w:val="Normal"/>
        <w:widowControl w:val="false"/>
        <w:spacing w:lineRule="auto" w:line="240"/>
        <w:jc w:val="center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</w:r>
    </w:p>
    <w:p>
      <w:pPr>
        <w:pStyle w:val="Normal"/>
        <w:widowControl w:val="false"/>
        <w:spacing w:lineRule="auto" w:line="240" w:before="65" w:after="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(1) </w:t>
        <w:tab/>
        <w:t xml:space="preserve">Údaje o zakladateľovi alebo zriaďovateľovi účtovnej jednotky: </w:t>
      </w:r>
    </w:p>
    <w:tbl>
      <w:tblPr>
        <w:tblStyle w:val="a2"/>
        <w:tblW w:w="10063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864"/>
        <w:gridCol w:w="7198"/>
      </w:tblGrid>
      <w:tr>
        <w:trPr>
          <w:trHeight w:val="284" w:hRule="atLeast"/>
        </w:trPr>
        <w:tc>
          <w:tcPr>
            <w:tcW w:w="286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39" w:right="329" w:firstLine="4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Údaje o zakladateľovi alebo zriaďovateľovi  účtovnej jednotky:</w:t>
            </w:r>
          </w:p>
        </w:tc>
        <w:tc>
          <w:tcPr>
            <w:tcW w:w="7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Občianske združenie Cookie skating club Košice</w:t>
            </w:r>
          </w:p>
        </w:tc>
      </w:tr>
      <w:tr>
        <w:trPr>
          <w:trHeight w:val="284" w:hRule="atLeast"/>
        </w:trPr>
        <w:tc>
          <w:tcPr>
            <w:tcW w:w="2864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Šafárikova trieda 285/21,040 11, Košice</w:t>
            </w:r>
          </w:p>
        </w:tc>
      </w:tr>
      <w:tr>
        <w:trPr>
          <w:trHeight w:val="284" w:hRule="atLeast"/>
        </w:trPr>
        <w:tc>
          <w:tcPr>
            <w:tcW w:w="2864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4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4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19" w:right="207" w:firstLine="21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Dátum založenia alebo zriadenia účtovnej  jednotky</w:t>
            </w:r>
          </w:p>
        </w:tc>
        <w:tc>
          <w:tcPr>
            <w:tcW w:w="7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sz w:val="16"/>
                <w:szCs w:val="16"/>
              </w:rPr>
              <w:t>17.05.2012</w:t>
            </w:r>
          </w:p>
        </w:tc>
      </w:tr>
    </w:tbl>
    <w:p>
      <w:pPr>
        <w:pStyle w:val="Normal"/>
        <w:widowControl w:val="false"/>
        <w:spacing w:lineRule="auto" w:line="228"/>
        <w:ind w:left="685" w:right="346" w:hanging="554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28"/>
        <w:ind w:left="685" w:right="346" w:hanging="554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(2) </w:t>
        <w:tab/>
        <w:t>Informácie o členoch štatutárnych orgánov, dozorných orgánov a iných orgánov účtovnej jednotky; uvádzajú sa mená a priezviská členov</w:t>
      </w:r>
      <w:r>
        <w:rPr>
          <w:rFonts w:eastAsia="Arial Narrow" w:cs="Arial Narrow" w:ascii="Arial Narrow" w:hAnsi="Arial Narrow"/>
          <w:sz w:val="18"/>
          <w:szCs w:val="18"/>
        </w:rPr>
        <w:t xml:space="preserve">          š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tatutárnych orgánov, dozorných orgánov a iných orgánov účtovnej jednotky. </w:t>
      </w:r>
    </w:p>
    <w:tbl>
      <w:tblPr>
        <w:tblStyle w:val="a3"/>
        <w:tblW w:w="10063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908"/>
        <w:gridCol w:w="3675"/>
        <w:gridCol w:w="3480"/>
      </w:tblGrid>
      <w:tr>
        <w:trPr>
          <w:trHeight w:val="284" w:hRule="atLeast"/>
        </w:trPr>
        <w:tc>
          <w:tcPr>
            <w:tcW w:w="29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Štatutárne orgány: </w:t>
            </w:r>
          </w:p>
          <w:p>
            <w:pPr>
              <w:pStyle w:val="Normal"/>
              <w:widowControl w:val="false"/>
              <w:spacing w:lineRule="auto" w:line="240"/>
              <w:ind w:left="12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(Štatutár, správna rada, predsedníctvo)</w:t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Juraj Dohanič</w:t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predseda</w:t>
            </w:r>
          </w:p>
        </w:tc>
      </w:tr>
      <w:tr>
        <w:trPr>
          <w:trHeight w:val="284" w:hRule="atLeast"/>
        </w:trPr>
        <w:tc>
          <w:tcPr>
            <w:tcW w:w="290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0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0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0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0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0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Dozorný orgán: </w:t>
            </w:r>
          </w:p>
          <w:p>
            <w:pPr>
              <w:pStyle w:val="Normal"/>
              <w:widowControl w:val="false"/>
              <w:spacing w:lineRule="auto" w:line="240"/>
              <w:ind w:left="12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(Dozorná rada, revízor)</w:t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Dana Dohaničová</w:t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revízor</w:t>
            </w:r>
          </w:p>
        </w:tc>
      </w:tr>
      <w:tr>
        <w:trPr>
          <w:trHeight w:val="284" w:hRule="atLeast"/>
        </w:trPr>
        <w:tc>
          <w:tcPr>
            <w:tcW w:w="290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0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(3) </w:t>
        <w:tab/>
        <w:t xml:space="preserve">Opis činnosti, na účel ktorej bola účtovná jednotka zriadená a opis druhu podnikateľskej činnosti, ak ju účtovná jednotka vykonáva. </w:t>
      </w:r>
    </w:p>
    <w:tbl>
      <w:tblPr>
        <w:tblStyle w:val="a4"/>
        <w:tblW w:w="10063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887"/>
        <w:gridCol w:w="7175"/>
      </w:tblGrid>
      <w:tr>
        <w:trPr>
          <w:trHeight w:val="292" w:hRule="atLeast"/>
        </w:trPr>
        <w:tc>
          <w:tcPr>
            <w:tcW w:w="288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4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Hlavná činnosť:</w:t>
            </w:r>
          </w:p>
        </w:tc>
        <w:tc>
          <w:tcPr>
            <w:tcW w:w="7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sz w:val="16"/>
                <w:szCs w:val="16"/>
              </w:rPr>
              <w:t>športová činnosť detí a mládeže, dospelých, organizovať sústredenia, turnaje, relaxačné pobyty,</w:t>
            </w:r>
          </w:p>
        </w:tc>
      </w:tr>
      <w:tr>
        <w:trPr>
          <w:trHeight w:val="295" w:hRule="atLeast"/>
        </w:trPr>
        <w:tc>
          <w:tcPr>
            <w:tcW w:w="2887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7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sz w:val="16"/>
                <w:szCs w:val="16"/>
              </w:rPr>
              <w:t>podpora a rozvoj telesnej kultúry</w:t>
            </w:r>
          </w:p>
        </w:tc>
      </w:tr>
      <w:tr>
        <w:trPr>
          <w:trHeight w:val="292" w:hRule="atLeast"/>
        </w:trPr>
        <w:tc>
          <w:tcPr>
            <w:tcW w:w="288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4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Podnikateľská činnosť:</w:t>
            </w:r>
          </w:p>
        </w:tc>
        <w:tc>
          <w:tcPr>
            <w:tcW w:w="7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887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7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spacing w:lineRule="auto" w:line="247"/>
        <w:ind w:left="490" w:right="347" w:hanging="359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7"/>
        <w:ind w:left="490" w:right="347" w:hanging="359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7"/>
        <w:ind w:left="490" w:right="347" w:hanging="359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7"/>
        <w:ind w:left="490" w:right="347" w:hanging="359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(4) </w:t>
        <w:tab/>
        <w:t>Priemerný prepočítaný počet zamestnancov, a z toho počet vedúcich zamestnancov účtovnej jednotky za účtovné obdobie, za ktoré sa  zostavuje</w:t>
      </w:r>
    </w:p>
    <w:p>
      <w:pPr>
        <w:pStyle w:val="Normal"/>
        <w:widowControl w:val="false"/>
        <w:spacing w:lineRule="auto" w:line="247"/>
        <w:ind w:left="490" w:right="347" w:hanging="359"/>
        <w:jc w:val="both"/>
        <w:rPr>
          <w:rFonts w:ascii="Arial Narrow" w:hAnsi="Arial Narrow" w:eastAsia="Arial Narrow" w:cs="Arial Narrow"/>
          <w:sz w:val="18"/>
          <w:szCs w:val="18"/>
        </w:rPr>
      </w:pPr>
      <w:r>
        <w:rPr>
          <w:rFonts w:eastAsia="Arial Narrow" w:cs="Arial Narrow" w:ascii="Arial Narrow" w:hAnsi="Arial Narrow"/>
          <w:sz w:val="18"/>
          <w:szCs w:val="18"/>
        </w:rPr>
        <w:t xml:space="preserve">    </w:t>
      </w:r>
      <w:r>
        <w:rPr>
          <w:rFonts w:eastAsia="Arial Narrow" w:cs="Arial Narrow" w:ascii="Arial Narrow" w:hAnsi="Arial Narrow"/>
          <w:sz w:val="18"/>
          <w:szCs w:val="18"/>
        </w:rPr>
        <w:tab/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>účtovná závierka (ďalej len „bežné účtovné obdobie“) a za bezprostredne predchádzajúce účtovné obdobie. Počet dobrovoľníkov vyslaných účtovno</w:t>
      </w:r>
      <w:r>
        <w:rPr>
          <w:rFonts w:eastAsia="Arial Narrow" w:cs="Arial Narrow" w:ascii="Arial Narrow" w:hAnsi="Arial Narrow"/>
          <w:sz w:val="18"/>
          <w:szCs w:val="18"/>
        </w:rPr>
        <w:t>u</w:t>
      </w:r>
    </w:p>
    <w:p>
      <w:pPr>
        <w:pStyle w:val="Normal"/>
        <w:widowControl w:val="false"/>
        <w:spacing w:lineRule="auto" w:line="247"/>
        <w:ind w:left="490" w:right="347" w:hanging="359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sz w:val="18"/>
          <w:szCs w:val="18"/>
        </w:rPr>
        <w:t xml:space="preserve">      </w:t>
      </w:r>
      <w:r>
        <w:rPr>
          <w:rFonts w:eastAsia="Arial Narrow" w:cs="Arial Narrow" w:ascii="Arial Narrow" w:hAnsi="Arial Narrow"/>
          <w:sz w:val="18"/>
          <w:szCs w:val="18"/>
        </w:rPr>
        <w:tab/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jednotkou a počet dobrovoľníkov, ktorí vykonávali dobrovoľnícku činnosť pre účtovnú jednotku počas účtovného obdobia.  </w:t>
      </w:r>
    </w:p>
    <w:p>
      <w:pPr>
        <w:pStyle w:val="Normal"/>
        <w:widowControl w:val="false"/>
        <w:spacing w:lineRule="auto" w:line="247"/>
        <w:ind w:left="490" w:right="347" w:hanging="359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 ods. 4 o počte zamestnancov a dobrovoľníkov: </w:t>
      </w:r>
    </w:p>
    <w:tbl>
      <w:tblPr>
        <w:tblStyle w:val="a5"/>
        <w:tblW w:w="10063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640"/>
        <w:gridCol w:w="2587"/>
        <w:gridCol w:w="2836"/>
      </w:tblGrid>
      <w:tr>
        <w:trPr>
          <w:trHeight w:val="489" w:hRule="atLeast"/>
        </w:trPr>
        <w:tc>
          <w:tcPr>
            <w:tcW w:w="4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i/>
                <w:i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b/>
                <w:i/>
                <w:color w:val="000000"/>
                <w:sz w:val="18"/>
                <w:szCs w:val="18"/>
              </w:rPr>
            </w:r>
          </w:p>
        </w:tc>
        <w:tc>
          <w:tcPr>
            <w:tcW w:w="2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 účtovné obdobie 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187" w:right="133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4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4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3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 toho počet vedúcich zamestnancov</w:t>
            </w:r>
          </w:p>
        </w:tc>
        <w:tc>
          <w:tcPr>
            <w:tcW w:w="2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4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25" w:right="341" w:firstLine="16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Počet dobrovoľníkov, ktorí vykonávali dobrovoľnícku činnosť pre účtovnú  jednotku počas účtovného obdobia</w:t>
            </w:r>
          </w:p>
        </w:tc>
        <w:tc>
          <w:tcPr>
            <w:tcW w:w="2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(5) </w:t>
        <w:tab/>
        <w:t xml:space="preserve">Informácia o organizáciách v zriaďovateľskej pôsobnosti účtovnej jednotky: </w:t>
      </w:r>
    </w:p>
    <w:tbl>
      <w:tblPr>
        <w:tblStyle w:val="a6"/>
        <w:tblW w:w="10063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10063"/>
      </w:tblGrid>
      <w:tr>
        <w:trPr>
          <w:trHeight w:val="295" w:hRule="atLeast"/>
        </w:trPr>
        <w:tc>
          <w:tcPr>
            <w:tcW w:w="10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  <w:tr>
        <w:trPr>
          <w:trHeight w:val="292" w:hRule="atLeast"/>
        </w:trPr>
        <w:tc>
          <w:tcPr>
            <w:tcW w:w="10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(6) Údaje podľa čl. I, III a IV sa uvádzajú v textovej podobe a tabuľkovej podobe.  </w:t>
      </w:r>
    </w:p>
    <w:p>
      <w:pPr>
        <w:pStyle w:val="Normal"/>
        <w:widowControl w:val="false"/>
        <w:spacing w:lineRule="auto" w:line="240" w:before="149" w:after="0"/>
        <w:ind w:left="125" w:hanging="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spacing w:lineRule="auto" w:line="240"/>
        <w:ind w:left="4902" w:hanging="0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  <w:t>Čl. II</w:t>
      </w:r>
    </w:p>
    <w:p>
      <w:pPr>
        <w:pStyle w:val="Normal"/>
        <w:widowControl w:val="false"/>
        <w:spacing w:lineRule="auto" w:line="240"/>
        <w:ind w:left="2452" w:hanging="0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  <w:t>Informácie o účtovných zásadách a účtovných metódach</w:t>
      </w:r>
    </w:p>
    <w:p>
      <w:pPr>
        <w:pStyle w:val="Normal"/>
        <w:widowControl w:val="false"/>
        <w:spacing w:lineRule="auto" w:line="240" w:before="202" w:after="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(1) </w:t>
        <w:tab/>
        <w:t xml:space="preserve">Informácia, či je účtovná závierka zostavená za splnenia predpokladu, že účtovná jednotka bude nepretržite pokračovať vo svojej činnosti.  </w:t>
      </w:r>
    </w:p>
    <w:p>
      <w:pPr>
        <w:pStyle w:val="Normal"/>
        <w:widowControl w:val="false"/>
        <w:spacing w:lineRule="auto" w:line="228" w:before="322" w:after="0"/>
        <w:ind w:left="686" w:right="347" w:hanging="554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(2) </w:t>
        <w:tab/>
        <w:t xml:space="preserve">Zmeny účtovných zásad a zmeny účtovných metód s uvedením dôvodu týchto zmien a vyčíslením ich vplyvu na finančnú hodnotu majetku,  záväzkov, základného imania a výsledku hospodárenia účtovnej jednotky. </w:t>
      </w:r>
    </w:p>
    <w:tbl>
      <w:tblPr>
        <w:tblStyle w:val="a7"/>
        <w:tblW w:w="10063" w:type="dxa"/>
        <w:jc w:val="left"/>
        <w:tblInd w:w="246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256"/>
        <w:gridCol w:w="3254"/>
        <w:gridCol w:w="3553"/>
      </w:tblGrid>
      <w:tr>
        <w:trPr>
          <w:trHeight w:val="520" w:hRule="atLeast"/>
        </w:trPr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Druh zmeny </w:t>
            </w:r>
          </w:p>
        </w:tc>
        <w:tc>
          <w:tcPr>
            <w:tcW w:w="3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Dôvod </w:t>
            </w:r>
          </w:p>
        </w:tc>
        <w:tc>
          <w:tcPr>
            <w:tcW w:w="3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245" w:right="197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Vplyv na hodnotu majetku, záväzkov, základného  imania a výsledku hospodárenia</w:t>
            </w:r>
          </w:p>
        </w:tc>
      </w:tr>
      <w:tr>
        <w:trPr>
          <w:trHeight w:val="292" w:hRule="atLeast"/>
        </w:trPr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(3) </w:t>
        <w:tab/>
        <w:t xml:space="preserve">Spôsob oceňovania jednotlivých položiek majetku a záväzkov v členení na </w:t>
      </w:r>
    </w:p>
    <w:tbl>
      <w:tblPr>
        <w:tblStyle w:val="a8"/>
        <w:tblW w:w="10063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296"/>
        <w:gridCol w:w="3766"/>
      </w:tblGrid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Majetok a záväzky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Spôsob oceňovania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a) dlhodobý nehmotný majetok obstaraný kúpou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b) dlhodobý nehmotný majetok obstaraný vlastnou činnosťou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c) dlhodobý nehmotný majetok obstaraný iným spôsobom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d) dlhodobý hmotný majetok obstaraný kúpou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obstarávacia cena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e) dlhodobý hmotný majetok obstaraný vlastnou činnosťou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f) dlhodobý hmotný majetok obstaraný iným spôsobom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obstarávaca cena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g) dlhodobý finančný majetok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h) zásoby obstarané kúpou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obstarávacia cena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i) zásoby vytvorené vlastnou činnosťou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00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j) zásoby obstarané iným spôsobom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k) pohľadávky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menovitá hodnota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l) krátkodobý finančný majetok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m) časové rozlíšenie na strane aktív súvahy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menovitá hodnota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n) záväzky, vrátane rezerv, dlhopisov, pôžičiek a úverov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menovitá hodnota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o) časové rozlíšenie na strane pasív súvahy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menovitá hodnota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p) deriváty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2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q) majetok a záväzky zabezpečené derivátmi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žiaden</w:t>
            </w:r>
          </w:p>
        </w:tc>
      </w:tr>
      <w:tr>
        <w:trPr>
          <w:trHeight w:val="295" w:hRule="atLeast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r) prenajatý majetok a majetok obstaraný na základe finančného prenájmu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obstarávacia cena</w:t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28"/>
        <w:ind w:left="691" w:right="347" w:hanging="559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>(4)</w:t>
        <w:tab/>
        <w:t xml:space="preserve">Spôsob zostavenia odpisového plánu pre jednotlivé druhy dlhodobého hmotného majetku a dlhodobého nehmotného majetku, pričom sa  uvádza doba odpisovania, použité sadzby odpisov a odpisové metódy pri určení účtovných odpisov. </w:t>
      </w:r>
    </w:p>
    <w:tbl>
      <w:tblPr>
        <w:tblStyle w:val="a9"/>
        <w:tblW w:w="10063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444"/>
        <w:gridCol w:w="2442"/>
        <w:gridCol w:w="2445"/>
        <w:gridCol w:w="2731"/>
      </w:tblGrid>
      <w:tr>
        <w:trPr>
          <w:trHeight w:val="295" w:hRule="atLeast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7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Druh dlhodobého majetku </w:t>
            </w: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Doba odpisovania </w:t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Sadzby odpisov </w:t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Odpisová metóda</w:t>
            </w:r>
          </w:p>
        </w:tc>
      </w:tr>
      <w:tr>
        <w:trPr>
          <w:trHeight w:val="292" w:hRule="atLeast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bicykel</w:t>
            </w: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4</w:t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1</w:t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rovnomerná</w:t>
            </w:r>
          </w:p>
        </w:tc>
      </w:tr>
      <w:tr>
        <w:trPr>
          <w:trHeight w:val="295" w:hRule="atLeast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(5) </w:t>
        <w:tab/>
        <w:t xml:space="preserve">Zásady pre zohľadnenie zníženia hodnoty majetku – účtovná jednotka uplatňuje:  </w:t>
      </w:r>
    </w:p>
    <w:tbl>
      <w:tblPr>
        <w:tblStyle w:val="aa"/>
        <w:tblW w:w="10065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862"/>
        <w:gridCol w:w="5202"/>
      </w:tblGrid>
      <w:tr>
        <w:trPr>
          <w:trHeight w:val="292" w:hRule="atLeast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Opravné položky </w:t>
            </w:r>
          </w:p>
        </w:tc>
        <w:tc>
          <w:tcPr>
            <w:tcW w:w="5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Rezervy</w:t>
            </w:r>
          </w:p>
        </w:tc>
      </w:tr>
      <w:tr>
        <w:trPr>
          <w:trHeight w:val="295" w:hRule="atLeast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083</w:t>
            </w:r>
          </w:p>
        </w:tc>
        <w:tc>
          <w:tcPr>
            <w:tcW w:w="5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ind w:left="4874" w:hanging="0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</w:r>
    </w:p>
    <w:p>
      <w:pPr>
        <w:pStyle w:val="Normal"/>
        <w:widowControl w:val="false"/>
        <w:spacing w:lineRule="auto" w:line="240"/>
        <w:ind w:left="4874" w:hanging="0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  <w:t xml:space="preserve">Čl. III </w:t>
      </w:r>
    </w:p>
    <w:p>
      <w:pPr>
        <w:pStyle w:val="Normal"/>
        <w:widowControl w:val="false"/>
        <w:spacing w:lineRule="auto" w:line="240"/>
        <w:ind w:left="2550" w:hanging="0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  <w:t xml:space="preserve">Informácie, ktoré dopĺňajú a vysvetľujú údaje v súvahe </w:t>
      </w:r>
    </w:p>
    <w:p>
      <w:pPr>
        <w:pStyle w:val="Normal"/>
        <w:widowControl w:val="false"/>
        <w:spacing w:lineRule="auto" w:line="240" w:before="125" w:after="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(1) Údaje o dlhodobom nehmotnom majetku a dlhodobom hmotnom majetku za bežné účtovné obdobie:  </w:t>
      </w:r>
    </w:p>
    <w:p>
      <w:pPr>
        <w:pStyle w:val="Normal"/>
        <w:widowControl w:val="false"/>
        <w:spacing w:lineRule="auto" w:line="228"/>
        <w:ind w:left="837" w:right="346" w:hanging="357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a) prehľad o dlhodobom majetku podľa položiek tohto majetku v členení podľa položiek súvahy; uvádza sa stav dlhodobého majetku v prvotnom </w:t>
      </w:r>
    </w:p>
    <w:p>
      <w:pPr>
        <w:pStyle w:val="Normal"/>
        <w:widowControl w:val="false"/>
        <w:spacing w:lineRule="auto" w:line="228"/>
        <w:ind w:left="837" w:right="346" w:hanging="357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ocenení na začiatku bežného účtovného obdobia, prírastky, úbytky a presuny tohto majetku a zostatok na konci bežného účtovného obdobia, </w:t>
      </w:r>
    </w:p>
    <w:p>
      <w:pPr>
        <w:pStyle w:val="Normal"/>
        <w:widowControl w:val="false"/>
        <w:spacing w:lineRule="auto" w:line="228" w:before="124" w:after="0"/>
        <w:ind w:left="842" w:right="346" w:hanging="356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b) 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 bežného účtovného obdobia a zostatok na konci bežného účtovného obdobia, </w:t>
      </w:r>
    </w:p>
    <w:p>
      <w:pPr>
        <w:pStyle w:val="Normal"/>
        <w:widowControl w:val="false"/>
        <w:spacing w:lineRule="auto" w:line="240" w:before="124" w:after="0"/>
        <w:ind w:left="480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c) prehľad o zostatkových cenách dlhodobého majetku na začiatku bežného účtovného obdobia a na konci bežného účtovného obdobia. </w:t>
      </w:r>
    </w:p>
    <w:p>
      <w:pPr>
        <w:pStyle w:val="Normal"/>
        <w:widowControl w:val="false"/>
        <w:spacing w:lineRule="auto" w:line="240" w:before="116" w:after="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 o stave a pohybe dlhodobého nehmotného majetku a dlhodobého hmotného majetku: </w:t>
      </w:r>
    </w:p>
    <w:p>
      <w:pPr>
        <w:pStyle w:val="Normal"/>
        <w:widowControl w:val="false"/>
        <w:spacing w:lineRule="auto" w:line="24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č. 1 </w:t>
      </w:r>
    </w:p>
    <w:tbl>
      <w:tblPr>
        <w:tblStyle w:val="ab"/>
        <w:tblW w:w="10118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324"/>
        <w:gridCol w:w="1126"/>
        <w:gridCol w:w="1055"/>
        <w:gridCol w:w="1109"/>
        <w:gridCol w:w="1080"/>
        <w:gridCol w:w="1249"/>
        <w:gridCol w:w="1135"/>
        <w:gridCol w:w="1038"/>
      </w:tblGrid>
      <w:tr>
        <w:trPr>
          <w:trHeight w:val="993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74" w:hanging="0"/>
              <w:rPr>
                <w:rFonts w:ascii="Arial Narrow" w:hAnsi="Arial Narrow" w:eastAsia="Arial Narrow" w:cs="Arial Narrow"/>
                <w:b/>
                <w:b/>
                <w:i/>
                <w:i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b/>
                <w:i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Nehmotné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výsledky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 vývojovej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a obdobnej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činnosti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Softvér 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Oceniteľné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práva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Ostatný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dlhodobý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nehmotný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Obstaranie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dlhodobého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nehmotného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majetku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Poskytnuté  </w:t>
            </w:r>
          </w:p>
          <w:p>
            <w:pPr>
              <w:pStyle w:val="Normal"/>
              <w:widowControl w:val="false"/>
              <w:spacing w:lineRule="auto" w:line="228"/>
              <w:ind w:left="155" w:right="104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preddavky na  dlhodobý  </w:t>
            </w:r>
          </w:p>
          <w:p>
            <w:pPr>
              <w:pStyle w:val="Normal"/>
              <w:widowControl w:val="false"/>
              <w:spacing w:lineRule="auto" w:line="240" w:before="1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nehmotný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Spolu</w:t>
            </w:r>
          </w:p>
        </w:tc>
      </w:tr>
      <w:tr>
        <w:trPr>
          <w:trHeight w:val="621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82" w:right="58" w:firstLine="4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Prvotné ocenenie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- stav na začiatku  bežného účtovného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9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9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9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420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81" w:right="23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41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82" w:right="5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Oprávky –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začiatku bežného  účtovného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9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9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41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81" w:right="23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621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82" w:right="6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Opravné položky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– stav na začiatku  bežného účtovného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300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9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41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81" w:right="23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97" w:hRule="atLeast"/>
        </w:trPr>
        <w:tc>
          <w:tcPr>
            <w:tcW w:w="10116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Zostatková hodnota</w:t>
            </w:r>
          </w:p>
        </w:tc>
      </w:tr>
      <w:tr>
        <w:trPr>
          <w:trHeight w:val="417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81" w:right="6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začiatku bežného účtovného 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420" w:hRule="atLeast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81" w:right="23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</w:tbl>
    <w:p>
      <w:pPr>
        <w:pStyle w:val="Normal"/>
        <w:widowControl w:val="false"/>
        <w:spacing w:lineRule="auto" w:line="24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č. 2 </w:t>
      </w:r>
    </w:p>
    <w:tbl>
      <w:tblPr>
        <w:tblStyle w:val="ac"/>
        <w:tblW w:w="10444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1710"/>
        <w:gridCol w:w="797"/>
        <w:gridCol w:w="793"/>
        <w:gridCol w:w="794"/>
        <w:gridCol w:w="793"/>
        <w:gridCol w:w="794"/>
        <w:gridCol w:w="795"/>
        <w:gridCol w:w="796"/>
        <w:gridCol w:w="789"/>
        <w:gridCol w:w="795"/>
        <w:gridCol w:w="796"/>
        <w:gridCol w:w="791"/>
      </w:tblGrid>
      <w:tr>
        <w:trPr>
          <w:trHeight w:val="1029" w:hRule="atLeast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74" w:hanging="0"/>
              <w:rPr>
                <w:rFonts w:ascii="Arial Narrow" w:hAnsi="Arial Narrow" w:eastAsia="Arial Narrow" w:cs="Arial Narrow"/>
                <w:b/>
                <w:b/>
                <w:i/>
                <w:i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b/>
                <w:i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103" w:right="49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Umelecké  diela  </w:t>
            </w:r>
          </w:p>
          <w:p>
            <w:pPr>
              <w:pStyle w:val="Normal"/>
              <w:widowControl w:val="false"/>
              <w:spacing w:lineRule="auto" w:line="240" w:before="6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a zbierky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Samost.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hnuteľné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veci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a súbory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hnut. vecí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105" w:right="54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Dopravné  prostried ky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Pestova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teľské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celky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trvalých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porastov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123" w:right="7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Základné  stádo  </w:t>
            </w:r>
          </w:p>
          <w:p>
            <w:pPr>
              <w:pStyle w:val="Normal"/>
              <w:widowControl w:val="false"/>
              <w:spacing w:lineRule="auto" w:line="240" w:before="1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a ťažné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zvieratá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Drobný  </w:t>
            </w:r>
          </w:p>
          <w:p>
            <w:pPr>
              <w:pStyle w:val="Normal"/>
              <w:widowControl w:val="false"/>
              <w:spacing w:lineRule="auto" w:line="228"/>
              <w:ind w:left="108" w:right="61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a ostatný  dlhodobý  hmotný  </w:t>
            </w:r>
          </w:p>
          <w:p>
            <w:pPr>
              <w:pStyle w:val="Normal"/>
              <w:widowControl w:val="false"/>
              <w:spacing w:lineRule="auto" w:line="240" w:before="2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Obst.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dlhodob.  </w:t>
            </w:r>
          </w:p>
          <w:p>
            <w:pPr>
              <w:pStyle w:val="Normal"/>
              <w:widowControl w:val="false"/>
              <w:spacing w:lineRule="auto" w:line="228"/>
              <w:ind w:left="93" w:right="39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hmotného  majetku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Poskyt  </w:t>
            </w:r>
          </w:p>
          <w:p>
            <w:pPr>
              <w:pStyle w:val="Normal"/>
              <w:widowControl w:val="false"/>
              <w:spacing w:lineRule="auto" w:line="228"/>
              <w:ind w:left="111" w:right="6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predd. na  dlhodobý  hmotný  </w:t>
            </w:r>
          </w:p>
          <w:p>
            <w:pPr>
              <w:pStyle w:val="Normal"/>
              <w:widowControl w:val="false"/>
              <w:spacing w:lineRule="auto" w:line="240" w:before="2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Spolu</w:t>
            </w:r>
          </w:p>
        </w:tc>
      </w:tr>
      <w:tr>
        <w:trPr>
          <w:trHeight w:val="559" w:hRule="atLeast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82" w:right="148" w:firstLine="4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Prvotné ocenenie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- stav  na začiatku bežného  </w:t>
            </w:r>
          </w:p>
          <w:p>
            <w:pPr>
              <w:pStyle w:val="Normal"/>
              <w:widowControl w:val="false"/>
              <w:spacing w:lineRule="auto" w:line="240" w:before="6" w:after="0"/>
              <w:ind w:left="8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29 60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29 6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>00</w:t>
            </w:r>
          </w:p>
        </w:tc>
      </w:tr>
      <w:tr>
        <w:trPr>
          <w:trHeight w:val="300" w:hRule="atLeast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2 030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2 030</w:t>
            </w:r>
          </w:p>
        </w:tc>
      </w:tr>
      <w:tr>
        <w:trPr>
          <w:trHeight w:val="297" w:hRule="atLeast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</w:tr>
      <w:tr>
        <w:trPr>
          <w:trHeight w:val="297" w:hRule="atLeast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417" w:hRule="atLeast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82" w:right="270" w:hanging="1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 účtovného obdobia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3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>1 630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   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>3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>1 630</w:t>
            </w:r>
          </w:p>
        </w:tc>
      </w:tr>
    </w:tbl>
    <w:p>
      <w:pPr>
        <w:pStyle w:val="Normal"/>
        <w:widowControl w:val="false"/>
        <w:spacing w:lineRule="auto" w:line="24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tbl>
      <w:tblPr>
        <w:tblStyle w:val="ad"/>
        <w:tblW w:w="10444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1710"/>
        <w:gridCol w:w="797"/>
        <w:gridCol w:w="793"/>
        <w:gridCol w:w="794"/>
        <w:gridCol w:w="793"/>
        <w:gridCol w:w="794"/>
        <w:gridCol w:w="795"/>
        <w:gridCol w:w="796"/>
        <w:gridCol w:w="789"/>
        <w:gridCol w:w="795"/>
        <w:gridCol w:w="796"/>
        <w:gridCol w:w="791"/>
      </w:tblGrid>
      <w:tr>
        <w:trPr>
          <w:trHeight w:val="561" w:hRule="atLeast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Oprávky –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stav na  </w:t>
            </w:r>
          </w:p>
          <w:p>
            <w:pPr>
              <w:pStyle w:val="Normal"/>
              <w:widowControl w:val="false"/>
              <w:spacing w:lineRule="auto" w:line="240"/>
              <w:ind w:left="7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začiatku bežného  </w:t>
            </w:r>
          </w:p>
          <w:p>
            <w:pPr>
              <w:pStyle w:val="Normal"/>
              <w:widowControl w:val="false"/>
              <w:spacing w:lineRule="auto" w:line="240"/>
              <w:ind w:left="8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7" w:hRule="atLeast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7 758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7 758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 </w:t>
            </w:r>
          </w:p>
        </w:tc>
      </w:tr>
      <w:tr>
        <w:trPr>
          <w:trHeight w:val="297" w:hRule="atLeast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417" w:hRule="atLeast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82" w:right="270" w:hanging="1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 účtovného obdobia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center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7 758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7 758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 </w:t>
            </w:r>
          </w:p>
        </w:tc>
      </w:tr>
      <w:tr>
        <w:trPr>
          <w:trHeight w:val="561" w:hRule="atLeast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82" w:right="15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Opravné položky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– stav  na začiatku bežného  </w:t>
            </w:r>
          </w:p>
          <w:p>
            <w:pPr>
              <w:pStyle w:val="Normal"/>
              <w:widowControl w:val="false"/>
              <w:spacing w:lineRule="auto" w:line="240" w:before="6" w:after="0"/>
              <w:ind w:left="8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7" w:hRule="atLeast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7" w:hRule="atLeast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420" w:hRule="atLeast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82" w:right="270" w:hanging="1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 účtovného obdobia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7" w:hRule="atLeast"/>
        </w:trPr>
        <w:tc>
          <w:tcPr>
            <w:tcW w:w="10443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Zostatková hodnota</w:t>
            </w:r>
          </w:p>
        </w:tc>
      </w:tr>
      <w:tr>
        <w:trPr>
          <w:trHeight w:val="417" w:hRule="atLeast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82" w:right="94" w:hanging="2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začiatku bežného  účtovného obdobia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417" w:hRule="atLeast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82" w:right="270" w:hanging="1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 účtovného obdobia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23 872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23 872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 </w:t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28"/>
        <w:ind w:left="688" w:right="346" w:hanging="557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28"/>
        <w:ind w:left="688" w:right="346" w:hanging="557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28"/>
        <w:ind w:left="688" w:right="346" w:hanging="557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28"/>
        <w:ind w:left="688" w:right="346" w:hanging="557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28"/>
        <w:ind w:left="688" w:right="346" w:hanging="557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28"/>
        <w:ind w:left="688" w:right="346" w:hanging="557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28"/>
        <w:ind w:left="688" w:right="346" w:hanging="557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(2) Prehľad dlhodobého majetku, na ktorý je zriadené záložné právo a dlhodobého majetku, pri ktorom má účtovná jednotka obmedzené právo s ním         </w:t>
      </w:r>
    </w:p>
    <w:p>
      <w:pPr>
        <w:pStyle w:val="Normal"/>
        <w:widowControl w:val="false"/>
        <w:spacing w:lineRule="auto" w:line="228"/>
        <w:ind w:left="688" w:right="346" w:hanging="557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nakladať: </w:t>
      </w:r>
    </w:p>
    <w:tbl>
      <w:tblPr>
        <w:tblStyle w:val="ae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5974"/>
        <w:gridCol w:w="4220"/>
      </w:tblGrid>
      <w:tr>
        <w:trPr>
          <w:trHeight w:val="295" w:hRule="atLeast"/>
        </w:trPr>
        <w:tc>
          <w:tcPr>
            <w:tcW w:w="5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Prehľad dlhodobého majetku </w:t>
            </w:r>
          </w:p>
        </w:tc>
        <w:tc>
          <w:tcPr>
            <w:tcW w:w="4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Výška majetku</w:t>
            </w:r>
          </w:p>
        </w:tc>
      </w:tr>
      <w:tr>
        <w:trPr>
          <w:trHeight w:val="292" w:hRule="atLeast"/>
        </w:trPr>
        <w:tc>
          <w:tcPr>
            <w:tcW w:w="5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4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4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5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4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4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(3) </w:t>
        <w:tab/>
        <w:t xml:space="preserve">Údaje o spôsobe a výške poistenia dlhodobého nehmotného majetku a dlhodobého hmotného majetku. </w:t>
      </w:r>
    </w:p>
    <w:tbl>
      <w:tblPr>
        <w:tblStyle w:val="af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295"/>
        <w:gridCol w:w="2946"/>
        <w:gridCol w:w="2954"/>
      </w:tblGrid>
      <w:tr>
        <w:trPr>
          <w:trHeight w:val="295" w:hRule="atLeast"/>
        </w:trPr>
        <w:tc>
          <w:tcPr>
            <w:tcW w:w="4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Dlhodobý majetok </w:t>
            </w:r>
          </w:p>
        </w:tc>
        <w:tc>
          <w:tcPr>
            <w:tcW w:w="2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Spôsob poistenia </w:t>
            </w:r>
          </w:p>
        </w:tc>
        <w:tc>
          <w:tcPr>
            <w:tcW w:w="29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Výška poistenia</w:t>
            </w:r>
          </w:p>
        </w:tc>
      </w:tr>
      <w:tr>
        <w:trPr>
          <w:trHeight w:val="292" w:hRule="atLeast"/>
        </w:trPr>
        <w:tc>
          <w:tcPr>
            <w:tcW w:w="4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28"/>
        <w:ind w:left="689" w:right="346" w:hanging="557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(4) </w:t>
        <w:tab/>
        <w:t xml:space="preserve">Údaje o štruktúre dlhodobého finančného majetku za bežné účtovné obdobie a jeho umiestnenie v členení podľa položiek súvahy a o zmenách,  ktoré sa uskutočnili v priebehu bežného účtovného obdobia v jednotlivých položkách dlhodobého finančného majetku. </w:t>
      </w:r>
    </w:p>
    <w:p>
      <w:pPr>
        <w:pStyle w:val="Normal"/>
        <w:widowControl w:val="false"/>
        <w:spacing w:lineRule="auto" w:line="240" w:before="244" w:after="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4 o zmenách jednotlivých položiek dlhodobého finančného majetku: </w:t>
      </w:r>
    </w:p>
    <w:tbl>
      <w:tblPr>
        <w:tblStyle w:val="af0"/>
        <w:tblW w:w="10118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241"/>
        <w:gridCol w:w="981"/>
        <w:gridCol w:w="1021"/>
        <w:gridCol w:w="975"/>
        <w:gridCol w:w="980"/>
        <w:gridCol w:w="978"/>
        <w:gridCol w:w="984"/>
        <w:gridCol w:w="978"/>
        <w:gridCol w:w="979"/>
      </w:tblGrid>
      <w:tr>
        <w:trPr>
          <w:trHeight w:val="1641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i/>
                <w:i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b/>
                <w:i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Podielové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cenné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papiere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a podiely  </w:t>
            </w:r>
          </w:p>
          <w:p>
            <w:pPr>
              <w:pStyle w:val="Normal"/>
              <w:widowControl w:val="false"/>
              <w:spacing w:lineRule="auto" w:line="228"/>
              <w:ind w:left="110" w:right="61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v obchodnej  spoločnosti  v ovládanej  osobe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Podielové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cenné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papiere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a podiely  </w:t>
            </w:r>
          </w:p>
          <w:p>
            <w:pPr>
              <w:pStyle w:val="Normal"/>
              <w:widowControl w:val="false"/>
              <w:spacing w:lineRule="auto" w:line="228"/>
              <w:ind w:left="92" w:right="41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v obchodnej  spoločnosti  s podstatným  vplyvom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Dlhové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cenné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papiere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držané do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splatnosti</w:t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Pôžičky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podnikom  </w:t>
            </w:r>
          </w:p>
          <w:p>
            <w:pPr>
              <w:pStyle w:val="Normal"/>
              <w:widowControl w:val="false"/>
              <w:spacing w:lineRule="auto" w:line="228"/>
              <w:ind w:left="137" w:right="89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 skupine a  ostatné  </w:t>
            </w:r>
          </w:p>
          <w:p>
            <w:pPr>
              <w:pStyle w:val="Normal"/>
              <w:widowControl w:val="false"/>
              <w:spacing w:lineRule="auto" w:line="240" w:before="1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pôžičky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Ostatný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dlhodobý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finančný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Obstaranie  </w:t>
            </w:r>
          </w:p>
          <w:p>
            <w:pPr>
              <w:pStyle w:val="Normal"/>
              <w:widowControl w:val="false"/>
              <w:spacing w:lineRule="auto" w:line="228"/>
              <w:ind w:left="124" w:right="73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dlhodobého  finančného  majetku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Poskytnuté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preddavky  </w:t>
            </w:r>
          </w:p>
          <w:p>
            <w:pPr>
              <w:pStyle w:val="Normal"/>
              <w:widowControl w:val="false"/>
              <w:spacing w:lineRule="auto" w:line="228"/>
              <w:ind w:left="115" w:right="58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na dlhodobý  finančný  </w:t>
            </w:r>
          </w:p>
          <w:p>
            <w:pPr>
              <w:pStyle w:val="Normal"/>
              <w:widowControl w:val="false"/>
              <w:spacing w:lineRule="auto" w:line="240" w:before="1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Spolu</w:t>
            </w:r>
          </w:p>
        </w:tc>
      </w:tr>
      <w:tr>
        <w:trPr>
          <w:trHeight w:val="297" w:hRule="atLeast"/>
        </w:trPr>
        <w:tc>
          <w:tcPr>
            <w:tcW w:w="1011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7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Prvotné ocenenie</w:t>
            </w:r>
          </w:p>
        </w:tc>
      </w:tr>
      <w:tr>
        <w:trPr>
          <w:trHeight w:val="477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Stav na začiatku bežného  </w:t>
            </w:r>
          </w:p>
          <w:p>
            <w:pPr>
              <w:pStyle w:val="Normal"/>
              <w:widowControl w:val="false"/>
              <w:spacing w:lineRule="auto" w:line="240"/>
              <w:ind w:left="8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7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300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7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525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81" w:right="15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spacing w:lineRule="auto" w:line="240"/>
        <w:ind w:left="125" w:hanging="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spacing w:lineRule="auto" w:line="240"/>
        <w:ind w:left="125" w:hanging="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spacing w:lineRule="auto" w:line="240"/>
        <w:ind w:left="125" w:hanging="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spacing w:lineRule="auto" w:line="240"/>
        <w:ind w:left="125" w:hanging="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spacing w:lineRule="auto" w:line="240"/>
        <w:ind w:left="125" w:hanging="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tbl>
      <w:tblPr>
        <w:tblStyle w:val="af1"/>
        <w:tblW w:w="10118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241"/>
        <w:gridCol w:w="981"/>
        <w:gridCol w:w="1021"/>
        <w:gridCol w:w="975"/>
        <w:gridCol w:w="980"/>
        <w:gridCol w:w="978"/>
        <w:gridCol w:w="984"/>
        <w:gridCol w:w="978"/>
        <w:gridCol w:w="979"/>
      </w:tblGrid>
      <w:tr>
        <w:trPr>
          <w:trHeight w:val="297" w:hRule="atLeast"/>
        </w:trPr>
        <w:tc>
          <w:tcPr>
            <w:tcW w:w="1011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Opravné položky</w:t>
            </w:r>
          </w:p>
        </w:tc>
      </w:tr>
      <w:tr>
        <w:trPr>
          <w:trHeight w:val="420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Stav na začiatku bežného  </w:t>
            </w:r>
          </w:p>
          <w:p>
            <w:pPr>
              <w:pStyle w:val="Normal"/>
              <w:widowControl w:val="false"/>
              <w:spacing w:lineRule="auto" w:line="240"/>
              <w:ind w:left="8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7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7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417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81" w:right="15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7" w:hRule="atLeast"/>
        </w:trPr>
        <w:tc>
          <w:tcPr>
            <w:tcW w:w="1011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Zostatková hodnota </w:t>
            </w:r>
          </w:p>
        </w:tc>
      </w:tr>
      <w:tr>
        <w:trPr>
          <w:trHeight w:val="417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Stav na začiatku bežného  </w:t>
            </w:r>
          </w:p>
          <w:p>
            <w:pPr>
              <w:pStyle w:val="Normal"/>
              <w:widowControl w:val="false"/>
              <w:spacing w:lineRule="auto" w:line="240"/>
              <w:ind w:left="8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419" w:hRule="atLeast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81" w:right="15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4" w:hanging="0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4 o štruktúre dlhodobého finančného majetku  </w:t>
      </w:r>
    </w:p>
    <w:tbl>
      <w:tblPr>
        <w:tblStyle w:val="af2"/>
        <w:tblW w:w="10118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1866"/>
        <w:gridCol w:w="972"/>
        <w:gridCol w:w="1108"/>
        <w:gridCol w:w="1526"/>
        <w:gridCol w:w="1511"/>
        <w:gridCol w:w="1541"/>
        <w:gridCol w:w="1593"/>
      </w:tblGrid>
      <w:tr>
        <w:trPr>
          <w:trHeight w:val="1007" w:hRule="atLeast"/>
        </w:trPr>
        <w:tc>
          <w:tcPr>
            <w:tcW w:w="186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Názov spoločnosti</w:t>
            </w:r>
          </w:p>
        </w:tc>
        <w:tc>
          <w:tcPr>
            <w:tcW w:w="97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Podiel na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základnom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imaní (v %)</w:t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Podiel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účtovnej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jednotky na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hlasovacích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právach</w:t>
            </w:r>
          </w:p>
        </w:tc>
        <w:tc>
          <w:tcPr>
            <w:tcW w:w="303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Hodnota vlastného imania ku koncu </w:t>
            </w:r>
          </w:p>
        </w:tc>
        <w:tc>
          <w:tcPr>
            <w:tcW w:w="313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Účtovná hodnota ku koncu</w:t>
            </w:r>
          </w:p>
        </w:tc>
      </w:tr>
      <w:tr>
        <w:trPr>
          <w:trHeight w:val="705" w:hRule="atLeast"/>
        </w:trPr>
        <w:tc>
          <w:tcPr>
            <w:tcW w:w="1866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972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(v %) 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159" w:right="104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  <w:tc>
          <w:tcPr>
            <w:tcW w:w="1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bezprostredne  </w:t>
            </w:r>
          </w:p>
          <w:p>
            <w:pPr>
              <w:pStyle w:val="Normal"/>
              <w:widowControl w:val="false"/>
              <w:spacing w:lineRule="auto" w:line="220"/>
              <w:ind w:left="162" w:right="136" w:firstLine="31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predchádzajúceho  účtovného obdobia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164" w:right="114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bezprostredne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predchádzajúceho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účtovného obdobia</w:t>
            </w:r>
          </w:p>
        </w:tc>
      </w:tr>
      <w:tr>
        <w:trPr>
          <w:trHeight w:val="297" w:hRule="atLeast"/>
        </w:trPr>
        <w:tc>
          <w:tcPr>
            <w:tcW w:w="18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9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7" w:hRule="atLeast"/>
        </w:trPr>
        <w:tc>
          <w:tcPr>
            <w:tcW w:w="18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9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7" w:hRule="atLeast"/>
        </w:trPr>
        <w:tc>
          <w:tcPr>
            <w:tcW w:w="18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9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300" w:hRule="atLeast"/>
        </w:trPr>
        <w:tc>
          <w:tcPr>
            <w:tcW w:w="18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74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9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28"/>
        <w:ind w:left="686" w:right="346" w:hanging="555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(5) </w:t>
        <w:tab/>
        <w:t xml:space="preserve">Informácia o výške tvorby, zníženia a zúčtovania opravných položiek k dlhodobému finančnému majetku a opis dôvodu ich tvorby, zníženia  a zúčtovania.  </w:t>
      </w:r>
    </w:p>
    <w:tbl>
      <w:tblPr>
        <w:tblStyle w:val="af3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1580"/>
        <w:gridCol w:w="1352"/>
        <w:gridCol w:w="1347"/>
        <w:gridCol w:w="1344"/>
        <w:gridCol w:w="1354"/>
        <w:gridCol w:w="1352"/>
        <w:gridCol w:w="1865"/>
      </w:tblGrid>
      <w:tr>
        <w:trPr>
          <w:trHeight w:val="849" w:hRule="atLeast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124" w:right="246" w:hanging="1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Dlhodobý finančný  majetok</w:t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172" w:right="123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začiatku  bežného  </w:t>
            </w:r>
          </w:p>
          <w:p>
            <w:pPr>
              <w:pStyle w:val="Normal"/>
              <w:widowControl w:val="false"/>
              <w:spacing w:lineRule="auto" w:line="240" w:before="6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účtovného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169" w:right="123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Tvorba opravnej  položky  </w:t>
            </w:r>
          </w:p>
          <w:p>
            <w:pPr>
              <w:pStyle w:val="Normal"/>
              <w:widowControl w:val="false"/>
              <w:spacing w:lineRule="auto" w:line="240" w:before="1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(zvýšenie)</w:t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128" w:right="75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Zníženie opravnej  položky</w:t>
            </w: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Zúčtovanie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opravnej položky</w:t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bežného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účtovného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112" w:right="214" w:firstLine="5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Opis dôvodu ich tvorby,  zníženia a zúčtovania</w:t>
            </w:r>
          </w:p>
        </w:tc>
      </w:tr>
      <w:tr>
        <w:trPr>
          <w:trHeight w:val="292" w:hRule="atLeast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spacing w:lineRule="auto" w:line="228"/>
        <w:ind w:left="131" w:right="346" w:hanging="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(6) </w:t>
        <w:tab/>
        <w:t>Prehľad o významných položkách krátkodobého finančného majetku a o ocenení krátkodobého finančného majetku reálnou hodnotou ku dňu, ku</w:t>
      </w:r>
    </w:p>
    <w:p>
      <w:pPr>
        <w:pStyle w:val="Normal"/>
        <w:widowControl w:val="false"/>
        <w:spacing w:lineRule="auto" w:line="228"/>
        <w:ind w:left="131" w:right="346" w:hanging="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sz w:val="18"/>
          <w:szCs w:val="18"/>
        </w:rPr>
        <w:t xml:space="preserve">           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ktorému sa zostavuje účtovná závierka, pričom sa uvádza vplyv takéhoto ocenenia na výsledok hospodárenia účtovnej jednotky.  </w:t>
      </w:r>
    </w:p>
    <w:p>
      <w:pPr>
        <w:pStyle w:val="Normal"/>
        <w:widowControl w:val="false"/>
        <w:spacing w:lineRule="auto" w:line="228"/>
        <w:ind w:left="131" w:right="346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28"/>
        <w:ind w:left="131" w:right="346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6 o položkách krátkodobého finančného majetku </w:t>
      </w:r>
    </w:p>
    <w:p>
      <w:pPr>
        <w:pStyle w:val="Normal"/>
        <w:widowControl w:val="false"/>
        <w:spacing w:lineRule="auto" w:line="240" w:before="116" w:after="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č. 1 </w:t>
      </w:r>
    </w:p>
    <w:tbl>
      <w:tblPr>
        <w:tblStyle w:val="af4"/>
        <w:tblW w:w="10156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247"/>
        <w:gridCol w:w="3446"/>
        <w:gridCol w:w="3463"/>
      </w:tblGrid>
      <w:tr>
        <w:trPr>
          <w:trHeight w:val="410" w:hRule="atLeast"/>
        </w:trPr>
        <w:tc>
          <w:tcPr>
            <w:tcW w:w="32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bežného účtovného obdobia </w:t>
            </w:r>
          </w:p>
        </w:tc>
        <w:tc>
          <w:tcPr>
            <w:tcW w:w="34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249" w:right="202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Stav na konci bezprostredne predchádzajúceho  účtovného obdobia</w:t>
            </w:r>
          </w:p>
        </w:tc>
      </w:tr>
      <w:tr>
        <w:trPr>
          <w:trHeight w:val="292" w:hRule="atLeast"/>
        </w:trPr>
        <w:tc>
          <w:tcPr>
            <w:tcW w:w="32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Pokladnica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42</w:t>
            </w:r>
          </w:p>
        </w:tc>
        <w:tc>
          <w:tcPr>
            <w:tcW w:w="34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301</w:t>
            </w:r>
          </w:p>
        </w:tc>
      </w:tr>
      <w:tr>
        <w:trPr>
          <w:trHeight w:val="295" w:hRule="atLeast"/>
        </w:trPr>
        <w:tc>
          <w:tcPr>
            <w:tcW w:w="32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Ceniny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  <w:tc>
          <w:tcPr>
            <w:tcW w:w="34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0,00</w:t>
            </w:r>
          </w:p>
        </w:tc>
      </w:tr>
      <w:tr>
        <w:trPr>
          <w:trHeight w:val="292" w:hRule="atLeast"/>
        </w:trPr>
        <w:tc>
          <w:tcPr>
            <w:tcW w:w="32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0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Bežné bankové účty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159</w:t>
            </w:r>
          </w:p>
        </w:tc>
        <w:tc>
          <w:tcPr>
            <w:tcW w:w="34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5 263</w:t>
            </w:r>
          </w:p>
        </w:tc>
      </w:tr>
      <w:tr>
        <w:trPr>
          <w:trHeight w:val="376" w:hRule="atLeast"/>
        </w:trPr>
        <w:tc>
          <w:tcPr>
            <w:tcW w:w="32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121" w:right="159" w:hanging="1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Bankové účty s dobou viazanosti dlhšou ako jeden  rok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4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2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Peniaze na ceste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</w:t>
            </w:r>
          </w:p>
        </w:tc>
        <w:tc>
          <w:tcPr>
            <w:tcW w:w="34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-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38</w:t>
            </w:r>
          </w:p>
        </w:tc>
      </w:tr>
      <w:tr>
        <w:trPr>
          <w:trHeight w:val="295" w:hRule="atLeast"/>
        </w:trPr>
        <w:tc>
          <w:tcPr>
            <w:tcW w:w="32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7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201</w:t>
            </w:r>
          </w:p>
        </w:tc>
        <w:tc>
          <w:tcPr>
            <w:tcW w:w="34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5 526</w:t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  </w:t>
      </w: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č. 2 </w:t>
      </w:r>
    </w:p>
    <w:tbl>
      <w:tblPr>
        <w:tblStyle w:val="af5"/>
        <w:tblW w:w="10156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241"/>
        <w:gridCol w:w="1733"/>
        <w:gridCol w:w="1725"/>
        <w:gridCol w:w="1724"/>
        <w:gridCol w:w="1733"/>
      </w:tblGrid>
      <w:tr>
        <w:trPr>
          <w:trHeight w:val="583" w:hRule="atLeast"/>
        </w:trPr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Krátkodobý finančný majetok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začiatku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bežného účtovného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167" w:right="118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Stav na konci bežného  účtovného obdobia</w:t>
            </w:r>
          </w:p>
        </w:tc>
      </w:tr>
      <w:tr>
        <w:trPr>
          <w:trHeight w:val="292" w:hRule="atLeast"/>
        </w:trPr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Majetkové cenné papiere na obchodovanie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5" w:hRule="atLeast"/>
        </w:trPr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376" w:hRule="atLeast"/>
        </w:trPr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121" w:right="238" w:hanging="1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Dlhové cenné papiere so splatnosťou do jedného  roka držané do splatnosti 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5" w:hRule="atLeast"/>
        </w:trPr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Ostatné realizovateľné cenné papiere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2" w:hRule="atLeast"/>
        </w:trPr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5" w:hRule="atLeast"/>
        </w:trPr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Krátkodobý finančný majetok spolu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1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</w:tbl>
    <w:p>
      <w:pPr>
        <w:pStyle w:val="Normal"/>
        <w:widowControl w:val="false"/>
        <w:spacing w:lineRule="auto" w:line="24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č. 3 </w:t>
      </w:r>
    </w:p>
    <w:tbl>
      <w:tblPr>
        <w:tblStyle w:val="af6"/>
        <w:tblW w:w="10156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243"/>
        <w:gridCol w:w="2289"/>
        <w:gridCol w:w="2320"/>
        <w:gridCol w:w="2303"/>
      </w:tblGrid>
      <w:tr>
        <w:trPr>
          <w:trHeight w:val="679" w:hRule="atLeast"/>
        </w:trPr>
        <w:tc>
          <w:tcPr>
            <w:tcW w:w="3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22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Zvýšenie/ zníženie hodnoty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(+/-) </w:t>
            </w: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293" w:right="248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Vplyv ocenenia na výsledok  hospodárenia bežného  </w:t>
            </w:r>
          </w:p>
          <w:p>
            <w:pPr>
              <w:pStyle w:val="Normal"/>
              <w:widowControl w:val="false"/>
              <w:spacing w:lineRule="auto" w:line="240" w:before="6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Vplyv ocenenia na vlastné imanie</w:t>
            </w:r>
          </w:p>
        </w:tc>
      </w:tr>
      <w:tr>
        <w:trPr>
          <w:trHeight w:val="292" w:hRule="atLeast"/>
        </w:trPr>
        <w:tc>
          <w:tcPr>
            <w:tcW w:w="3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Majetkové cenné papiere na obchodovanie</w:t>
            </w:r>
          </w:p>
        </w:tc>
        <w:tc>
          <w:tcPr>
            <w:tcW w:w="22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Dlhové cenné papiere na obchodovanie</w:t>
            </w:r>
          </w:p>
        </w:tc>
        <w:tc>
          <w:tcPr>
            <w:tcW w:w="22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3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Ostatné realizovateľné cenné papiere</w:t>
            </w:r>
          </w:p>
        </w:tc>
        <w:tc>
          <w:tcPr>
            <w:tcW w:w="22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Krátkodobý finančný majetok spolu</w:t>
            </w:r>
          </w:p>
        </w:tc>
        <w:tc>
          <w:tcPr>
            <w:tcW w:w="22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spacing w:lineRule="auto" w:line="228"/>
        <w:ind w:left="682" w:right="346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28"/>
        <w:ind w:left="682" w:right="346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28"/>
        <w:ind w:left="682" w:right="346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28"/>
        <w:ind w:left="682" w:right="346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28"/>
        <w:ind w:left="682" w:right="346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28"/>
        <w:ind w:left="682" w:right="346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28"/>
        <w:ind w:left="682" w:right="346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28"/>
        <w:ind w:left="682" w:right="346" w:hanging="55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(7) </w:t>
        <w:tab/>
        <w:t>Prehľad opravných položiek k zásobám, pričom sa uvádza ich stav na začiatku bežného účtovného obdobia, tvorba, zníženie alebo zúčtovanie</w:t>
      </w:r>
    </w:p>
    <w:p>
      <w:pPr>
        <w:pStyle w:val="Normal"/>
        <w:widowControl w:val="false"/>
        <w:spacing w:lineRule="auto" w:line="228"/>
        <w:ind w:left="682" w:right="346" w:hanging="55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      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opravných položiek počas bežného účtovného obdobia a stav na konci bežného účtovného obdobia, ako aj dôvod tvorby, zníženia alebo zúčtovania opravných položiek k zásobám. </w:t>
      </w:r>
    </w:p>
    <w:p>
      <w:pPr>
        <w:pStyle w:val="Normal"/>
        <w:widowControl w:val="false"/>
        <w:spacing w:lineRule="auto" w:line="240" w:before="64" w:after="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7 o vývoji opravných položiek k zásobám  </w:t>
      </w:r>
    </w:p>
    <w:tbl>
      <w:tblPr>
        <w:tblStyle w:val="af7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281"/>
        <w:gridCol w:w="1581"/>
        <w:gridCol w:w="1585"/>
        <w:gridCol w:w="1582"/>
        <w:gridCol w:w="1581"/>
        <w:gridCol w:w="1584"/>
      </w:tblGrid>
      <w:tr>
        <w:trPr>
          <w:trHeight w:val="621" w:hRule="atLeast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Druh zásob 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začiatku  </w:t>
            </w:r>
          </w:p>
          <w:p>
            <w:pPr>
              <w:pStyle w:val="Normal"/>
              <w:widowControl w:val="false"/>
              <w:spacing w:lineRule="auto" w:line="220"/>
              <w:ind w:left="186" w:right="133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Tvorba opravnej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položky (zvýšenie)</w:t>
            </w: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Zníženie opravnej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položky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138" w:right="92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Zúčtovanie opravnej  položky</w:t>
            </w: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spacing w:lineRule="auto" w:line="220"/>
              <w:ind w:left="186" w:right="136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</w:tr>
      <w:tr>
        <w:trPr>
          <w:trHeight w:val="376" w:hRule="atLeast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115" w:right="104" w:firstLine="7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Nedokončená výroba a polotovary  vlastnej výroby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Výrobky 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Zvieratá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Tovar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Poskytnutý preddavok na zásoby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Zásoby spolu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(8) </w:t>
        <w:tab/>
        <w:t xml:space="preserve">Opis významných pohľadávok v nadväznosti na položky súvahy a v členení na pohľadávky za hlavnú činnosť a podnikateľskú činnosť. </w:t>
      </w:r>
    </w:p>
    <w:tbl>
      <w:tblPr>
        <w:tblStyle w:val="af8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057"/>
        <w:gridCol w:w="5095"/>
        <w:gridCol w:w="2043"/>
      </w:tblGrid>
      <w:tr>
        <w:trPr>
          <w:trHeight w:val="295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Významné pohľadávky </w:t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</w:t>
            </w: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2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spacing w:lineRule="auto" w:line="228"/>
        <w:ind w:right="346" w:hanging="0"/>
        <w:jc w:val="both"/>
        <w:rPr/>
      </w:pPr>
      <w:r>
        <w:rPr/>
      </w:r>
    </w:p>
    <w:p>
      <w:pPr>
        <w:pStyle w:val="Normal"/>
        <w:widowControl w:val="false"/>
        <w:spacing w:lineRule="auto" w:line="228"/>
        <w:ind w:right="346" w:hanging="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(9) </w:t>
        <w:tab/>
        <w:t xml:space="preserve">Prehľad opravných položiek k pohľadávkam, pričom sa uvádza ich stav na začiatku bežného účtovného obdobia, tvorba, zníženie alebo </w:t>
      </w:r>
    </w:p>
    <w:p>
      <w:pPr>
        <w:pStyle w:val="Normal"/>
        <w:widowControl w:val="false"/>
        <w:spacing w:lineRule="auto" w:line="228"/>
        <w:ind w:left="720" w:right="346" w:hanging="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zúčtovanie opravných položiek počas bežného účtovného obdobia a stav na konci bežného účtovného obdobia, ako aj dôvod tvorby, zníženia  alebo zúčtovania opravných položiek k pohľadávkam. </w:t>
      </w:r>
    </w:p>
    <w:p>
      <w:pPr>
        <w:pStyle w:val="Normal"/>
        <w:widowControl w:val="false"/>
        <w:spacing w:lineRule="auto" w:line="240" w:before="64" w:after="0"/>
        <w:ind w:left="117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9 o vývoji opravných položiek k pohľadávkam </w:t>
      </w:r>
    </w:p>
    <w:tbl>
      <w:tblPr>
        <w:tblStyle w:val="af9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464"/>
        <w:gridCol w:w="1544"/>
        <w:gridCol w:w="1547"/>
        <w:gridCol w:w="1545"/>
        <w:gridCol w:w="1549"/>
        <w:gridCol w:w="1545"/>
      </w:tblGrid>
      <w:tr>
        <w:trPr>
          <w:trHeight w:val="619" w:hRule="atLeast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Druh pohľadávok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začiatku  </w:t>
            </w:r>
          </w:p>
          <w:p>
            <w:pPr>
              <w:pStyle w:val="Normal"/>
              <w:widowControl w:val="false"/>
              <w:spacing w:lineRule="auto" w:line="220"/>
              <w:ind w:left="167" w:right="116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Tvorba opravnej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položky (zvýšenie)</w:t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Zníženie opravnej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položky</w:t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121" w:right="75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Zúčtovanie opravnej  položky</w:t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spacing w:lineRule="auto" w:line="220"/>
              <w:ind w:left="167" w:right="116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</w:tr>
      <w:tr>
        <w:trPr>
          <w:trHeight w:val="292" w:hRule="atLeast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Pohľadávky z obchodného styku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Ostatné pohľadávky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Pohľadávky voči účastníkom združení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Pohľadávky spolu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(10) </w:t>
        <w:tab/>
        <w:t xml:space="preserve">Prehľad pohľadávok do lehoty splatnosti a po lehote splatnosti. </w:t>
      </w:r>
    </w:p>
    <w:p>
      <w:pPr>
        <w:pStyle w:val="Normal"/>
        <w:widowControl w:val="false"/>
        <w:spacing w:lineRule="auto" w:line="240" w:before="56" w:after="0"/>
        <w:ind w:left="13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10 o pohľadávkach do lehoty splatnosti a po lehote splatnosti  </w:t>
      </w:r>
    </w:p>
    <w:tbl>
      <w:tblPr>
        <w:tblStyle w:val="afa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078"/>
        <w:gridCol w:w="3057"/>
        <w:gridCol w:w="3060"/>
      </w:tblGrid>
      <w:tr>
        <w:trPr>
          <w:trHeight w:val="295" w:hRule="atLeast"/>
        </w:trPr>
        <w:tc>
          <w:tcPr>
            <w:tcW w:w="40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i/>
                <w:i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b/>
                <w:i/>
                <w:color w:val="000000"/>
                <w:sz w:val="18"/>
                <w:szCs w:val="18"/>
              </w:rPr>
            </w:r>
          </w:p>
        </w:tc>
        <w:tc>
          <w:tcPr>
            <w:tcW w:w="611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Stav na konci</w:t>
            </w:r>
          </w:p>
        </w:tc>
      </w:tr>
      <w:tr>
        <w:trPr>
          <w:trHeight w:val="412" w:hRule="atLeast"/>
        </w:trPr>
        <w:tc>
          <w:tcPr>
            <w:tcW w:w="407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bežného účtovného obdobia </w:t>
            </w:r>
          </w:p>
        </w:tc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143" w:right="92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bezprostredne predchádzajúceho účtovného  obdobia</w:t>
            </w:r>
          </w:p>
        </w:tc>
      </w:tr>
      <w:tr>
        <w:trPr>
          <w:trHeight w:val="295" w:hRule="atLeast"/>
        </w:trPr>
        <w:tc>
          <w:tcPr>
            <w:tcW w:w="40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Pohľadávky do lehoty splatnosti</w:t>
            </w:r>
          </w:p>
        </w:tc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0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Pohľadávky po lehote splatnosti</w:t>
            </w:r>
          </w:p>
        </w:tc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0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Pohľadávky spolu</w:t>
            </w:r>
          </w:p>
        </w:tc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(11) </w:t>
        <w:tab/>
        <w:t xml:space="preserve">Prehľad významných položiek časového rozlíšenia nákladov budúcich období a príjmov budúcich období. </w:t>
      </w:r>
    </w:p>
    <w:tbl>
      <w:tblPr>
        <w:tblStyle w:val="afb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057"/>
        <w:gridCol w:w="5095"/>
        <w:gridCol w:w="2043"/>
      </w:tblGrid>
      <w:tr>
        <w:trPr>
          <w:trHeight w:val="376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124" w:right="447" w:hanging="11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Významné položky časového rozlíšenia  nákladov </w:t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</w:t>
            </w: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2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časové rozlíšenie nákladov</w:t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príjmy budúcich období</w:t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spacing w:lineRule="auto" w:line="252"/>
        <w:ind w:left="480" w:right="346" w:hanging="348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52"/>
        <w:ind w:left="480" w:right="346" w:hanging="348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(12) </w:t>
        <w:tab/>
        <w:t>Opis a výška zmien vlastných zdrojov krytia neobežného majetku a obežného majetku podľa položiek súvahy za bežné účtovné obdobie, a to  a)</w:t>
      </w:r>
    </w:p>
    <w:p>
      <w:pPr>
        <w:pStyle w:val="Normal"/>
        <w:widowControl w:val="false"/>
        <w:spacing w:lineRule="auto" w:line="252"/>
        <w:ind w:left="480" w:right="346" w:hanging="348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sz w:val="18"/>
          <w:szCs w:val="18"/>
        </w:rPr>
        <w:t xml:space="preserve">    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opis základného imania, nadačného imania v nadáciách, výška vkladov zakladateľov alebo zriaďovateľov, prioritný majetok v neziskových  organizáciách poskytujúcich všeobecne prospešné služby, prevody zdrojov z fondov účtovnej jednotky a podobne; za jednotlivé položky sa  uvádza stav na začiatku bežného účtovného obdobia, jednotlivé prírastky, úbytky, presuny a zostatok na konci bežného účtovného obdobia, b) opis jednotlivých druhov fondov, ktoré tvorí účtovná jednotka, stav na začiatku bežného účtovného obdobia, prírastky, úbytky, presuny  a zostatok na konci bežného účtovného obdobia.  </w:t>
      </w:r>
    </w:p>
    <w:p>
      <w:pPr>
        <w:pStyle w:val="Normal"/>
        <w:widowControl w:val="false"/>
        <w:spacing w:lineRule="auto" w:line="240" w:before="43" w:after="0"/>
        <w:ind w:left="117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12 o zmenách vlastných zdrojov krytia neobežného majetku a obežného majetku  </w:t>
      </w:r>
    </w:p>
    <w:tbl>
      <w:tblPr>
        <w:tblStyle w:val="afc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825"/>
        <w:gridCol w:w="1273"/>
        <w:gridCol w:w="1274"/>
        <w:gridCol w:w="1275"/>
        <w:gridCol w:w="1273"/>
        <w:gridCol w:w="1274"/>
      </w:tblGrid>
      <w:tr>
        <w:trPr>
          <w:trHeight w:val="744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i/>
                <w:i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b/>
                <w:i/>
                <w:color w:val="000000"/>
                <w:sz w:val="18"/>
                <w:szCs w:val="18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134" w:right="85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začiatku  bežného  </w:t>
            </w:r>
          </w:p>
          <w:p>
            <w:pPr>
              <w:pStyle w:val="Normal"/>
              <w:widowControl w:val="false"/>
              <w:spacing w:lineRule="auto" w:line="240" w:before="5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účtovného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Prírastky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(+)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Úbytky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(-) 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Presuny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(+, -) 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bežného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účtovného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obdobia</w:t>
            </w:r>
          </w:p>
        </w:tc>
      </w:tr>
      <w:tr>
        <w:trPr>
          <w:trHeight w:val="292" w:hRule="atLeast"/>
        </w:trPr>
        <w:tc>
          <w:tcPr>
            <w:tcW w:w="1019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7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Imanie a fondy</w:t>
            </w:r>
          </w:p>
        </w:tc>
      </w:tr>
      <w:tr>
        <w:trPr>
          <w:trHeight w:val="295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388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z toho:  </w:t>
            </w:r>
          </w:p>
          <w:p>
            <w:pPr>
              <w:pStyle w:val="Normal"/>
              <w:widowControl w:val="false"/>
              <w:spacing w:lineRule="auto" w:line="240" w:before="9" w:after="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nadačné imanie v nadácii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2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vklady zakladateľov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5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prioritný majetok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2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Fondy tvorené podľa osobitného predpisu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2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Fond reprodukcie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5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2" w:hRule="atLeast"/>
        </w:trPr>
        <w:tc>
          <w:tcPr>
            <w:tcW w:w="1019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Fondy zo zisku</w:t>
            </w:r>
          </w:p>
        </w:tc>
      </w:tr>
      <w:tr>
        <w:trPr>
          <w:trHeight w:val="295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Rezervný fond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2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Fondy tvorené zo zisku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5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0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right="66" w:hanging="0"/>
              <w:jc w:val="right"/>
              <w:rPr>
                <w:rFonts w:ascii="Arial Narrow" w:hAnsi="Arial Narrow" w:eastAsia="Arial Narrow" w:cs="Arial Narrow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0,00 </w:t>
            </w:r>
          </w:p>
        </w:tc>
      </w:tr>
      <w:tr>
        <w:trPr>
          <w:trHeight w:val="292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1 545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   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-16 673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-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15 128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</w:t>
            </w:r>
          </w:p>
        </w:tc>
      </w:tr>
      <w:tr>
        <w:trPr>
          <w:trHeight w:val="295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3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-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>455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1 545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sz w:val="16"/>
                <w:szCs w:val="16"/>
              </w:rPr>
              <w:t>1 090</w:t>
            </w:r>
            <w:r>
              <w:rPr>
                <w:rFonts w:eastAsia="Arial Narrow" w:cs="Arial Narrow" w:ascii="Arial Narrow" w:hAnsi="Arial Narrow"/>
                <w:sz w:val="16"/>
                <w:szCs w:val="16"/>
              </w:rPr>
              <w:t xml:space="preserve"> </w:t>
            </w:r>
          </w:p>
        </w:tc>
      </w:tr>
      <w:tr>
        <w:trPr>
          <w:trHeight w:val="292" w:hRule="atLeast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1 090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-</w:t>
            </w: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15 128</w:t>
            </w: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   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-</w:t>
            </w: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14 038</w:t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90"/>
        <w:ind w:left="117" w:right="2073" w:firstLine="14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(13) </w:t>
        <w:tab/>
        <w:t xml:space="preserve">Informácia o rozdelení účtovného zisku alebo vysporiadaní účtovnej straty vykázanej v minulých účtovných bdobiach. </w:t>
      </w: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13 o rozdelení účtovného zisku alebo vysporiadaní účtovnej straty </w:t>
      </w:r>
    </w:p>
    <w:tbl>
      <w:tblPr>
        <w:tblStyle w:val="afd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5777"/>
        <w:gridCol w:w="4417"/>
      </w:tblGrid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Názov položky 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1 545</w:t>
            </w:r>
          </w:p>
        </w:tc>
      </w:tr>
      <w:tr>
        <w:trPr>
          <w:trHeight w:val="295" w:hRule="atLeast"/>
        </w:trPr>
        <w:tc>
          <w:tcPr>
            <w:tcW w:w="10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tbl>
      <w:tblPr>
        <w:tblStyle w:val="afe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5777"/>
        <w:gridCol w:w="4417"/>
      </w:tblGrid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Prevod do nevysporiadaného výsledku hospodárenia minulých rokov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1 545</w:t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/>
            </w:r>
          </w:p>
        </w:tc>
      </w:tr>
      <w:tr>
        <w:trPr>
          <w:trHeight w:val="292" w:hRule="atLeast"/>
        </w:trPr>
        <w:tc>
          <w:tcPr>
            <w:tcW w:w="10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Prevod do nevysporiadaného výsledku hospodárenia minulých rokov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/>
            </w:r>
          </w:p>
        </w:tc>
      </w:tr>
      <w:tr>
        <w:trPr>
          <w:trHeight w:val="295" w:hRule="atLeast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(14) </w:t>
        <w:tab/>
        <w:t xml:space="preserve">Opis a výška cudzích zdrojov, a to:  </w:t>
      </w:r>
    </w:p>
    <w:p>
      <w:pPr>
        <w:pStyle w:val="Normal"/>
        <w:widowControl w:val="false"/>
        <w:spacing w:lineRule="auto" w:line="228"/>
        <w:ind w:left="832" w:right="347" w:hanging="428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a) údaje o jednotlivých druhoch rezerv, ktoré tvorí účtovná jednotka; uvádza sa stav rezerv na začiatku bežného účtovného obdobia, ich tvorba,  </w:t>
      </w:r>
    </w:p>
    <w:p>
      <w:pPr>
        <w:pStyle w:val="Normal"/>
        <w:widowControl w:val="false"/>
        <w:spacing w:lineRule="auto" w:line="228"/>
        <w:ind w:left="832" w:right="347" w:hanging="428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zníženie, použitie alebo zrušenie počas bežného účtovného obdobia a zostatok rezervy na konci bežného účtovného obdobia, pričom sa  uvedie </w:t>
      </w:r>
    </w:p>
    <w:p>
      <w:pPr>
        <w:pStyle w:val="Normal"/>
        <w:widowControl w:val="false"/>
        <w:spacing w:lineRule="auto" w:line="228"/>
        <w:ind w:left="832" w:right="347" w:hanging="428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predpokladaný rok použitia rezervy </w:t>
      </w:r>
    </w:p>
    <w:p>
      <w:pPr>
        <w:pStyle w:val="Normal"/>
        <w:widowControl w:val="false"/>
        <w:spacing w:lineRule="auto" w:line="240" w:before="124" w:after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14 písm. a) o tvorbe a použití rezerv </w:t>
      </w:r>
    </w:p>
    <w:tbl>
      <w:tblPr>
        <w:tblStyle w:val="aff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989"/>
        <w:gridCol w:w="1441"/>
        <w:gridCol w:w="1441"/>
        <w:gridCol w:w="1441"/>
        <w:gridCol w:w="1441"/>
        <w:gridCol w:w="1441"/>
      </w:tblGrid>
      <w:tr>
        <w:trPr>
          <w:trHeight w:val="561" w:hRule="atLeast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Druh rezervy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začiatku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bežného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Tvorba rezerv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Použitie rezerv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Zrušenie alebo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zníženie rezerv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bežného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účtovného obdobia</w:t>
            </w:r>
          </w:p>
        </w:tc>
      </w:tr>
      <w:tr>
        <w:trPr>
          <w:trHeight w:val="376" w:hRule="atLeast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124" w:right="401" w:hanging="13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Jednotlivé druhy krátkodobých zákonných  rezerv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Zákonné rezervy spolu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0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Ostatné rezervy spolu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28"/>
        <w:ind w:left="840" w:right="347" w:hanging="431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b) údaje o významných položkách na účtoch 325 - Ostatné záväzky a 379 – Iné záväzky; uvádza sa začiatočný stav, prírastky, úbytky  a konečný </w:t>
      </w:r>
    </w:p>
    <w:p>
      <w:pPr>
        <w:pStyle w:val="Normal"/>
        <w:widowControl w:val="false"/>
        <w:spacing w:lineRule="auto" w:line="228"/>
        <w:ind w:left="840" w:right="347" w:hanging="431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zostatok podľa jednotlivých druhov záväzkov, </w:t>
      </w:r>
    </w:p>
    <w:tbl>
      <w:tblPr>
        <w:tblStyle w:val="aff0"/>
        <w:tblW w:w="10135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896"/>
        <w:gridCol w:w="1550"/>
        <w:gridCol w:w="1553"/>
        <w:gridCol w:w="1547"/>
        <w:gridCol w:w="1589"/>
      </w:tblGrid>
      <w:tr>
        <w:trPr>
          <w:trHeight w:val="295" w:hRule="atLeast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Významné položky ostatných a iných záväzkov 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Začiatočný stav </w:t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Konečný zostatok</w:t>
            </w:r>
          </w:p>
        </w:tc>
      </w:tr>
      <w:tr>
        <w:trPr>
          <w:trHeight w:val="292" w:hRule="atLeast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ind w:left="403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c) prehľad o výške záväzkov do lehoty splatnosti a po lehote splatnosti, </w:t>
      </w:r>
    </w:p>
    <w:p>
      <w:pPr>
        <w:pStyle w:val="Normal"/>
        <w:widowControl w:val="false"/>
        <w:spacing w:lineRule="auto" w:line="240"/>
        <w:ind w:left="403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403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d) prehľad o výške záväzkov podľa zostatkovej doby splatnosti v členení podľa položiek súvahy  </w:t>
      </w:r>
    </w:p>
    <w:p>
      <w:pPr>
        <w:pStyle w:val="Normal"/>
        <w:widowControl w:val="false"/>
        <w:spacing w:lineRule="auto" w:line="240"/>
        <w:ind w:left="850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1. do jedného roka vrátane, </w:t>
      </w:r>
    </w:p>
    <w:p>
      <w:pPr>
        <w:pStyle w:val="Normal"/>
        <w:widowControl w:val="false"/>
        <w:spacing w:lineRule="auto" w:line="240"/>
        <w:ind w:left="848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2. od jedného roka do piatich rokov vrátane, </w:t>
      </w:r>
    </w:p>
    <w:p>
      <w:pPr>
        <w:pStyle w:val="Normal"/>
        <w:widowControl w:val="false"/>
        <w:spacing w:lineRule="auto" w:line="240"/>
        <w:ind w:left="847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3. viac ako päť rokov </w:t>
      </w:r>
    </w:p>
    <w:p>
      <w:pPr>
        <w:pStyle w:val="Normal"/>
        <w:widowControl w:val="false"/>
        <w:spacing w:lineRule="auto" w:line="240"/>
        <w:ind w:left="49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49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490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14 písm. c) a d) o záväzkoch </w:t>
      </w:r>
    </w:p>
    <w:tbl>
      <w:tblPr>
        <w:tblStyle w:val="aff1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5096"/>
        <w:gridCol w:w="2548"/>
        <w:gridCol w:w="2551"/>
      </w:tblGrid>
      <w:tr>
        <w:trPr>
          <w:trHeight w:val="295" w:hRule="atLeast"/>
        </w:trPr>
        <w:tc>
          <w:tcPr>
            <w:tcW w:w="509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Druh záväzkov</w:t>
            </w:r>
          </w:p>
        </w:tc>
        <w:tc>
          <w:tcPr>
            <w:tcW w:w="509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Stav na konci</w:t>
            </w:r>
          </w:p>
        </w:tc>
      </w:tr>
      <w:tr>
        <w:trPr>
          <w:trHeight w:val="376" w:hRule="atLeast"/>
        </w:trPr>
        <w:tc>
          <w:tcPr>
            <w:tcW w:w="5096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bežného účtovného obdobia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241" w:right="188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bezprostredne predchádzajúceho  účtovného obdobia</w:t>
            </w:r>
          </w:p>
        </w:tc>
      </w:tr>
      <w:tr>
        <w:trPr>
          <w:trHeight w:val="295" w:hRule="atLeast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Záväzky po lehote splatnosti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451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24 047</w:t>
            </w:r>
          </w:p>
        </w:tc>
      </w:tr>
      <w:tr>
        <w:trPr>
          <w:trHeight w:val="292" w:hRule="atLeast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Záväzky do lehoty splatnosti so zostatkovou dobou splatnosti do jedného roka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103</w:t>
            </w:r>
          </w:p>
        </w:tc>
      </w:tr>
      <w:tr>
        <w:trPr>
          <w:trHeight w:val="295" w:hRule="atLeast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Krátkodobé záväzky spolu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451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24 150</w:t>
            </w:r>
          </w:p>
        </w:tc>
      </w:tr>
      <w:tr>
        <w:trPr>
          <w:trHeight w:val="292" w:hRule="atLeast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Záväzky so zostatkovou dobou splatnosti od jedného do piatich rokov vrátane 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</w:tr>
      <w:tr>
        <w:trPr>
          <w:trHeight w:val="295" w:hRule="atLeast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5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</w:tr>
      <w:tr>
        <w:trPr>
          <w:trHeight w:val="292" w:hRule="atLeast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Dlhodobé záväzky spolu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0,00</w:t>
            </w:r>
          </w:p>
        </w:tc>
      </w:tr>
      <w:tr>
        <w:trPr>
          <w:trHeight w:val="295" w:hRule="atLeast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Krátkodobé a dlhodobé záväzky spolu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451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24 150</w:t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28"/>
        <w:ind w:left="840" w:right="347" w:hanging="436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e) prehľad o záväzkoch zo sociálneho fondu; uvádza sa začiatočný stav, tvorba a čerpanie sociálneho fondu počas účtovného obdobia  a zostatok na </w:t>
      </w:r>
    </w:p>
    <w:p>
      <w:pPr>
        <w:pStyle w:val="Normal"/>
        <w:widowControl w:val="false"/>
        <w:spacing w:lineRule="auto" w:line="228"/>
        <w:ind w:left="840" w:right="347" w:hanging="436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konci účtovného obdobia, </w:t>
      </w:r>
    </w:p>
    <w:p>
      <w:pPr>
        <w:pStyle w:val="Normal"/>
        <w:widowControl w:val="false"/>
        <w:spacing w:lineRule="auto" w:line="240" w:before="124" w:after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14 písm. e) o vývoji sociálneho fondu </w:t>
      </w:r>
    </w:p>
    <w:tbl>
      <w:tblPr>
        <w:tblStyle w:val="aff2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808"/>
        <w:gridCol w:w="3219"/>
        <w:gridCol w:w="3168"/>
      </w:tblGrid>
      <w:tr>
        <w:trPr>
          <w:trHeight w:val="376" w:hRule="atLeast"/>
        </w:trPr>
        <w:tc>
          <w:tcPr>
            <w:tcW w:w="3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Sociálny fond </w:t>
            </w:r>
          </w:p>
        </w:tc>
        <w:tc>
          <w:tcPr>
            <w:tcW w:w="3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Bežné účtovné obdobie </w:t>
            </w: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350" w:right="301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Bezprostredne predchádzajúce účtovné  obdobie</w:t>
            </w:r>
          </w:p>
        </w:tc>
      </w:tr>
      <w:tr>
        <w:trPr>
          <w:trHeight w:val="295" w:hRule="atLeast"/>
        </w:trPr>
        <w:tc>
          <w:tcPr>
            <w:tcW w:w="3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Stav k prvému dňu účtovného obdobia</w:t>
            </w:r>
          </w:p>
        </w:tc>
        <w:tc>
          <w:tcPr>
            <w:tcW w:w="3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3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Tvorba na ťarchu nákladov</w:t>
            </w:r>
          </w:p>
        </w:tc>
        <w:tc>
          <w:tcPr>
            <w:tcW w:w="3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Tvorba zo zisku</w:t>
            </w:r>
          </w:p>
        </w:tc>
        <w:tc>
          <w:tcPr>
            <w:tcW w:w="3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3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Čerpanie</w:t>
            </w:r>
          </w:p>
        </w:tc>
        <w:tc>
          <w:tcPr>
            <w:tcW w:w="3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Stav k poslednému dňu účtovného obdobia</w:t>
            </w:r>
          </w:p>
        </w:tc>
        <w:tc>
          <w:tcPr>
            <w:tcW w:w="3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28"/>
        <w:ind w:left="402" w:right="347" w:hanging="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f) prehľad o bankových úveroch, pôžičkách a návratných finančných výpomociach s uvedením meny, v ktorej boli poskytnuté, druhu, hodnoty  v cudzej </w:t>
      </w:r>
    </w:p>
    <w:p>
      <w:pPr>
        <w:pStyle w:val="Normal"/>
        <w:widowControl w:val="false"/>
        <w:spacing w:lineRule="auto" w:line="228"/>
        <w:ind w:left="402" w:right="347" w:hanging="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mene a hodnoty v eurách ku dňu, ku ktorému sa zostavuje účtovná závierka, výšky úroku, splatnosti a formy zabezpečenia, </w:t>
      </w:r>
    </w:p>
    <w:p>
      <w:pPr>
        <w:pStyle w:val="Normal"/>
        <w:widowControl w:val="false"/>
        <w:spacing w:lineRule="auto" w:line="228"/>
        <w:ind w:right="347" w:hanging="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28"/>
        <w:ind w:right="347" w:hanging="0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14 písm. f) o bankových úveroch, pôžičkách a návratných finančných výpomociach </w:t>
      </w:r>
    </w:p>
    <w:tbl>
      <w:tblPr>
        <w:tblStyle w:val="aff3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2861"/>
        <w:gridCol w:w="609"/>
        <w:gridCol w:w="1337"/>
        <w:gridCol w:w="1337"/>
        <w:gridCol w:w="1344"/>
        <w:gridCol w:w="1336"/>
        <w:gridCol w:w="1370"/>
      </w:tblGrid>
      <w:tr>
        <w:trPr>
          <w:trHeight w:val="1111" w:hRule="atLeast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Druh cudzieho zdroja 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Mena 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Výška úroku v % 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Splatnosť </w:t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Forma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zabezpečenia</w:t>
            </w: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Suma istiny na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konci bežného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účtovného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Suma istiny na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konci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bezprostredne  </w:t>
            </w:r>
          </w:p>
          <w:p>
            <w:pPr>
              <w:pStyle w:val="Normal"/>
              <w:widowControl w:val="false"/>
              <w:spacing w:lineRule="auto" w:line="220"/>
              <w:ind w:left="124" w:right="68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predchádzajúceho  účtovného  </w:t>
            </w:r>
          </w:p>
          <w:p>
            <w:pPr>
              <w:pStyle w:val="Normal"/>
              <w:widowControl w:val="false"/>
              <w:spacing w:lineRule="auto" w:line="240" w:before="6" w:after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obdobia</w:t>
            </w:r>
          </w:p>
        </w:tc>
      </w:tr>
      <w:tr>
        <w:trPr>
          <w:trHeight w:val="295" w:hRule="atLeast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Krátkodobý bankový úver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Pôžička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Návratná finančná výpomoc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31.12.202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4</w:t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18 615</w:t>
            </w: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0,00</w:t>
            </w:r>
          </w:p>
        </w:tc>
      </w:tr>
      <w:tr>
        <w:trPr>
          <w:trHeight w:val="292" w:hRule="atLeast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Dlhodobý bankový úver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spacing w:lineRule="auto" w:line="240"/>
        <w:ind w:left="403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g) prehľad o významných položkách časového rozlíšenia výdavkov budúcich období. </w:t>
      </w:r>
    </w:p>
    <w:tbl>
      <w:tblPr>
        <w:tblStyle w:val="aff4"/>
        <w:tblW w:w="10195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3057"/>
        <w:gridCol w:w="5095"/>
        <w:gridCol w:w="2043"/>
      </w:tblGrid>
      <w:tr>
        <w:trPr>
          <w:trHeight w:val="376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0"/>
              <w:ind w:left="115" w:right="447" w:hanging="2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Významné položky časového rozlíšenia  výdavkov budúcich období </w:t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</w:t>
            </w: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2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ind w:left="138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(15) Prehľad o významných položkách výnosov budúcich období v členení najmä na </w:t>
      </w:r>
    </w:p>
    <w:p>
      <w:pPr>
        <w:pStyle w:val="Normal"/>
        <w:widowControl w:val="false"/>
        <w:spacing w:lineRule="auto" w:line="24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a) zostatkovú hodnotu bezodplatne nadobudnutého dlhodobého majetku, </w:t>
      </w:r>
    </w:p>
    <w:p>
      <w:pPr>
        <w:pStyle w:val="Normal"/>
        <w:widowControl w:val="false"/>
        <w:spacing w:lineRule="auto" w:line="240"/>
        <w:ind w:left="487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b) zostatkovú hodnotu dlhodobého majetku obstaraného z dotácie, </w:t>
      </w:r>
    </w:p>
    <w:p>
      <w:pPr>
        <w:pStyle w:val="Normal"/>
        <w:widowControl w:val="false"/>
        <w:spacing w:lineRule="auto" w:line="24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c) zostatok nepoužitej dotácie alebo grantu, </w:t>
      </w:r>
    </w:p>
    <w:p>
      <w:pPr>
        <w:pStyle w:val="Normal"/>
        <w:widowControl w:val="false"/>
        <w:spacing w:lineRule="auto" w:line="24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d) zostatok nepoužitej časti podielu zaplatenej dane, </w:t>
      </w:r>
    </w:p>
    <w:p>
      <w:pPr>
        <w:pStyle w:val="Normal"/>
        <w:widowControl w:val="false"/>
        <w:spacing w:lineRule="auto" w:line="240"/>
        <w:ind w:left="477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e) zostatkovú hodnotu dlhodobého majetku obstaraného z podielu zaplatenej dane. </w:t>
      </w:r>
    </w:p>
    <w:p>
      <w:pPr>
        <w:pStyle w:val="Normal"/>
        <w:widowControl w:val="false"/>
        <w:spacing w:lineRule="auto" w:line="240"/>
        <w:ind w:left="117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17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15 o významných položkách výnosov budúcich období </w:t>
      </w:r>
    </w:p>
    <w:tbl>
      <w:tblPr>
        <w:tblStyle w:val="aff5"/>
        <w:tblW w:w="10125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179"/>
        <w:gridCol w:w="1550"/>
        <w:gridCol w:w="1428"/>
        <w:gridCol w:w="1415"/>
        <w:gridCol w:w="1553"/>
      </w:tblGrid>
      <w:tr>
        <w:trPr>
          <w:trHeight w:val="746" w:hRule="atLeast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bezprostredne  </w:t>
            </w:r>
          </w:p>
          <w:p>
            <w:pPr>
              <w:pStyle w:val="Normal"/>
              <w:widowControl w:val="false"/>
              <w:spacing w:lineRule="auto" w:line="220"/>
              <w:ind w:left="184" w:right="157" w:firstLine="28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predchádzajúceho  účtovného obdobia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spacing w:lineRule="auto" w:line="228"/>
              <w:ind w:left="169" w:right="119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</w:tr>
      <w:tr>
        <w:trPr>
          <w:trHeight w:val="292" w:hRule="atLeast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dlhodobého majetku obstaraného z dotácie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dlhodobého majetku obstaraného z finančného daru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4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dotácie zo štátneho rozpočtu alebo z prostriedkov Európskej únie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dotácie z rozpočtu obce alebo z rozpočtu vyššieho územného celku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dlhodobého majetku obstaraného z podielu zaplatenej dane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ind w:left="131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(16) Údaje o majetku prenajatom formou finančného prenájmu, a to </w:t>
      </w:r>
    </w:p>
    <w:p>
      <w:pPr>
        <w:pStyle w:val="Normal"/>
        <w:widowControl w:val="false"/>
        <w:spacing w:lineRule="auto" w:line="240"/>
        <w:ind w:left="477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a) celková suma dohodnutých platieb ku dňu, ku ktorému sa zostavuje účtovná závierka, v členení na istinu a finančný náklad, </w:t>
      </w:r>
    </w:p>
    <w:tbl>
      <w:tblPr>
        <w:tblStyle w:val="aff6"/>
        <w:tblW w:w="10173" w:type="dxa"/>
        <w:jc w:val="left"/>
        <w:tblInd w:w="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5228"/>
        <w:gridCol w:w="4944"/>
      </w:tblGrid>
      <w:tr>
        <w:trPr>
          <w:trHeight w:val="295" w:hRule="atLeast"/>
        </w:trPr>
        <w:tc>
          <w:tcPr>
            <w:tcW w:w="52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Suma istiny </w:t>
            </w:r>
          </w:p>
        </w:tc>
        <w:tc>
          <w:tcPr>
            <w:tcW w:w="4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Finančný náklad</w:t>
            </w:r>
          </w:p>
        </w:tc>
      </w:tr>
      <w:tr>
        <w:trPr>
          <w:trHeight w:val="292" w:hRule="atLeast"/>
        </w:trPr>
        <w:tc>
          <w:tcPr>
            <w:tcW w:w="52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4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2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4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52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4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52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4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spacing w:lineRule="auto" w:line="240"/>
        <w:ind w:left="487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487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b) suma istiny a finančného nákladu podľa doby splatnosti  </w:t>
      </w:r>
    </w:p>
    <w:p>
      <w:pPr>
        <w:pStyle w:val="Normal"/>
        <w:widowControl w:val="false"/>
        <w:spacing w:lineRule="auto" w:line="240"/>
        <w:ind w:left="838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1. do jedného roka vrátane, </w:t>
      </w:r>
    </w:p>
    <w:p>
      <w:pPr>
        <w:pStyle w:val="Normal"/>
        <w:widowControl w:val="false"/>
        <w:spacing w:lineRule="auto" w:line="240"/>
        <w:ind w:left="836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2. od jedného roka do piatich rokov vrátane, </w:t>
      </w:r>
    </w:p>
    <w:p>
      <w:pPr>
        <w:pStyle w:val="Normal"/>
        <w:widowControl w:val="false"/>
        <w:spacing w:lineRule="auto" w:line="240"/>
        <w:ind w:left="835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3. viac ako päť rokov. </w:t>
      </w:r>
    </w:p>
    <w:p>
      <w:pPr>
        <w:pStyle w:val="Normal"/>
        <w:widowControl w:val="false"/>
        <w:spacing w:lineRule="auto" w:line="240" w:before="116" w:after="0"/>
        <w:ind w:left="117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III ods. 16 o majetku prenajatom formou finančného prenájmu </w:t>
      </w:r>
    </w:p>
    <w:tbl>
      <w:tblPr>
        <w:tblStyle w:val="aff7"/>
        <w:tblW w:w="10125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179"/>
        <w:gridCol w:w="1550"/>
        <w:gridCol w:w="1428"/>
        <w:gridCol w:w="1415"/>
        <w:gridCol w:w="1553"/>
      </w:tblGrid>
      <w:tr>
        <w:trPr>
          <w:trHeight w:val="744" w:hRule="atLeast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bezprostredne  </w:t>
            </w:r>
          </w:p>
          <w:p>
            <w:pPr>
              <w:pStyle w:val="Normal"/>
              <w:widowControl w:val="false"/>
              <w:spacing w:lineRule="auto" w:line="228"/>
              <w:ind w:left="184" w:right="157" w:firstLine="28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predchádzajúceho  účtovného obdobia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Istina 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Finančný náklad</w:t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>
            <w:pPr>
              <w:pStyle w:val="Normal"/>
              <w:widowControl w:val="false"/>
              <w:spacing w:lineRule="auto" w:line="228"/>
              <w:ind w:left="169" w:right="119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</w:tr>
      <w:tr>
        <w:trPr>
          <w:trHeight w:val="295" w:hRule="atLeast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od jedného roka do piatich rokov vrátane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2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ind w:left="4903" w:hanging="0"/>
        <w:rPr>
          <w:rFonts w:ascii="Arial Narrow" w:hAnsi="Arial Narrow" w:eastAsia="Arial Narrow" w:cs="Arial Narrow"/>
          <w:b/>
          <w:b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b/>
          <w:color w:val="000000"/>
          <w:sz w:val="19"/>
          <w:szCs w:val="19"/>
        </w:rPr>
        <w:t xml:space="preserve">Čl. IV </w:t>
      </w:r>
    </w:p>
    <w:p>
      <w:pPr>
        <w:pStyle w:val="Normal"/>
        <w:widowControl w:val="false"/>
        <w:spacing w:lineRule="auto" w:line="240"/>
        <w:ind w:left="2394" w:hanging="0"/>
        <w:rPr>
          <w:rFonts w:ascii="Arial Narrow" w:hAnsi="Arial Narrow" w:eastAsia="Arial Narrow" w:cs="Arial Narrow"/>
          <w:b/>
          <w:b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b/>
          <w:color w:val="000000"/>
          <w:sz w:val="19"/>
          <w:szCs w:val="19"/>
        </w:rPr>
        <w:t xml:space="preserve">Informácie, ktoré dopĺňajú a vysvetľujú údaje vo výkaze ziskov a strát </w:t>
      </w:r>
    </w:p>
    <w:p>
      <w:pPr>
        <w:pStyle w:val="Normal"/>
        <w:widowControl w:val="false"/>
        <w:spacing w:lineRule="auto" w:line="240"/>
        <w:ind w:left="2394" w:hanging="0"/>
        <w:rPr>
          <w:rFonts w:ascii="Arial Narrow" w:hAnsi="Arial Narrow" w:eastAsia="Arial Narrow" w:cs="Arial Narrow"/>
          <w:b/>
          <w:b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b/>
          <w:color w:val="000000"/>
          <w:sz w:val="19"/>
          <w:szCs w:val="19"/>
        </w:rPr>
      </w:r>
    </w:p>
    <w:p>
      <w:pPr>
        <w:pStyle w:val="Normal"/>
        <w:widowControl w:val="false"/>
        <w:spacing w:lineRule="auto" w:line="228" w:before="2" w:after="0"/>
        <w:ind w:left="682" w:right="347" w:hanging="543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(1) </w:t>
        <w:tab/>
        <w:t xml:space="preserve">Prehľad tržieb za vlastné výkony a tovar s uvedením ich opisu a vyčíslením hodnoty tržieb podľa jednotlivých hlavných druhov  výrobkov, služieb hlavnej činnosti a podnikateľskej činnosti účtovnej jednotky. </w:t>
      </w:r>
    </w:p>
    <w:tbl>
      <w:tblPr>
        <w:tblStyle w:val="aff8"/>
        <w:tblW w:w="10094" w:type="dxa"/>
        <w:jc w:val="left"/>
        <w:tblInd w:w="174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026"/>
        <w:gridCol w:w="2909"/>
        <w:gridCol w:w="3159"/>
      </w:tblGrid>
      <w:tr>
        <w:trPr>
          <w:trHeight w:val="300" w:hRule="atLeast"/>
        </w:trPr>
        <w:tc>
          <w:tcPr>
            <w:tcW w:w="4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48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Prehľad tržieb za vlastné výkony a tovar </w:t>
            </w:r>
          </w:p>
        </w:tc>
        <w:tc>
          <w:tcPr>
            <w:tcW w:w="2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Hlavná činnosť </w:t>
            </w:r>
          </w:p>
        </w:tc>
        <w:tc>
          <w:tcPr>
            <w:tcW w:w="3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97" w:hRule="atLeast"/>
        </w:trPr>
        <w:tc>
          <w:tcPr>
            <w:tcW w:w="4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300" w:hRule="atLeast"/>
        </w:trPr>
        <w:tc>
          <w:tcPr>
            <w:tcW w:w="4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7" w:hRule="atLeast"/>
        </w:trPr>
        <w:tc>
          <w:tcPr>
            <w:tcW w:w="4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300" w:hRule="atLeast"/>
        </w:trPr>
        <w:tc>
          <w:tcPr>
            <w:tcW w:w="4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ind w:left="138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(2) </w:t>
        <w:tab/>
        <w:t xml:space="preserve">Opis a vyčíslenie hodnoty významných položiek prijatých darov, osobitných výnosov, zákonných poplatkov a iných ostatných výnosov.  </w:t>
      </w:r>
    </w:p>
    <w:tbl>
      <w:tblPr>
        <w:tblStyle w:val="aff9"/>
        <w:tblW w:w="10087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931"/>
        <w:gridCol w:w="3155"/>
      </w:tblGrid>
      <w:tr>
        <w:trPr>
          <w:trHeight w:val="376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28"/>
              <w:ind w:left="115" w:right="229" w:firstLine="5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významných položiek prijatých darov, osobitných výnosov, zákonných poplatkov a iných ostatných  výnosov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Osobitné výnosy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9  791</w:t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prijaté príspevky a dary od iných organizácií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5 452</w:t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color w:val="000000"/>
        </w:rPr>
        <w:t xml:space="preserve">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(3) </w:t>
        <w:tab/>
        <w:t xml:space="preserve">Prehľad dotácií a grantov, ktoré účtovná jednotka prijala v priebehu bežného účtovného obdobia. </w:t>
      </w:r>
    </w:p>
    <w:tbl>
      <w:tblPr>
        <w:tblStyle w:val="affa"/>
        <w:tblW w:w="10087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931"/>
        <w:gridCol w:w="3155"/>
      </w:tblGrid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Prehľad dotácií a grantov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dotácia SRZ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550</w:t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 w:val="false"/>
                <w:b w:val="false"/>
                <w:bCs w:val="false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 w:val="false"/>
                <w:bCs w:val="false"/>
                <w:color w:val="000000"/>
                <w:sz w:val="16"/>
                <w:szCs w:val="16"/>
              </w:rPr>
              <w:t>dotácia Mesto Košice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 w:val="false"/>
                <w:b w:val="false"/>
                <w:bCs w:val="false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 w:val="false"/>
                <w:bCs w:val="false"/>
                <w:color w:val="000000"/>
                <w:sz w:val="16"/>
                <w:szCs w:val="16"/>
              </w:rPr>
              <w:t>2 413</w:t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 w:val="false"/>
                <w:b w:val="false"/>
                <w:bCs w:val="false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 w:val="false"/>
                <w:bCs w:val="false"/>
                <w:color w:val="000000"/>
                <w:sz w:val="16"/>
                <w:szCs w:val="16"/>
              </w:rPr>
              <w:t>Dotácia MČ KE – Nad Jazerom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 w:val="false"/>
                <w:b w:val="false"/>
                <w:bCs w:val="false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 w:val="false"/>
                <w:bCs w:val="false"/>
                <w:color w:val="000000"/>
                <w:sz w:val="16"/>
                <w:szCs w:val="16"/>
              </w:rPr>
              <w:t>1 150</w:t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28"/>
        <w:ind w:left="689" w:right="347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(4) </w:t>
        <w:tab/>
        <w:t xml:space="preserve">Opis a suma významných položiek finančných výnosov; uvádza sa aj celková suma kurzových ziskov, pričom osobitne sa uvádza hodnota  kurzových ziskov účtovaná ku dňu, ku ktorému sa zostavuje účtovná závierka. </w:t>
      </w:r>
    </w:p>
    <w:tbl>
      <w:tblPr>
        <w:tblStyle w:val="affb"/>
        <w:tblW w:w="10087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931"/>
        <w:gridCol w:w="3155"/>
      </w:tblGrid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8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významných položiek finančných výnosov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celková hodnota kurzových ziskov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ind w:left="138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(5) </w:t>
        <w:tab/>
        <w:t xml:space="preserve">Opis a vyčíslenie hodnoty významných položiek nákladov, nákladov na ostatné služby, osobitných nákladov a iných ostatných nákladov.  </w:t>
      </w:r>
    </w:p>
    <w:tbl>
      <w:tblPr>
        <w:tblStyle w:val="affc"/>
        <w:tblW w:w="10087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931"/>
        <w:gridCol w:w="3155"/>
      </w:tblGrid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významných nákladov, nákladov na ostatné služby, osobitné náklady a iné ostatné náklady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osobitné náklady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2 218</w:t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spotreba materiálu, réžia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4 767</w:t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služby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6 536</w:t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ind w:left="138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(6) </w:t>
        <w:tab/>
        <w:t xml:space="preserve">Prehľad o účele a výške použitia podielu zaplatenej dane za bežné účtovné obdobie.  </w:t>
      </w:r>
    </w:p>
    <w:p>
      <w:pPr>
        <w:pStyle w:val="Normal"/>
        <w:widowControl w:val="false"/>
        <w:spacing w:lineRule="auto" w:line="240" w:before="56" w:after="0"/>
        <w:ind w:left="117" w:hanging="0"/>
        <w:rPr>
          <w:rFonts w:ascii="Arial Narrow" w:hAnsi="Arial Narrow" w:eastAsia="Arial Narrow" w:cs="Arial Narrow"/>
          <w:b/>
          <w:b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color w:val="000000"/>
          <w:sz w:val="18"/>
          <w:szCs w:val="18"/>
        </w:rPr>
        <w:t xml:space="preserve">  </w:t>
      </w:r>
      <w:r>
        <w:rPr>
          <w:rFonts w:eastAsia="Arial Narrow" w:cs="Arial Narrow" w:ascii="Arial Narrow" w:hAnsi="Arial Narrow"/>
          <w:b/>
          <w:color w:val="000000"/>
          <w:sz w:val="18"/>
          <w:szCs w:val="18"/>
        </w:rPr>
        <w:t xml:space="preserve">Tabuľka k čl. IV ods. 6 o účele a výške použitia podielu zaplatenej dane </w:t>
      </w:r>
    </w:p>
    <w:tbl>
      <w:tblPr>
        <w:tblStyle w:val="affd"/>
        <w:tblW w:w="10087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961"/>
        <w:gridCol w:w="2815"/>
        <w:gridCol w:w="2311"/>
      </w:tblGrid>
      <w:tr>
        <w:trPr>
          <w:trHeight w:val="376" w:hRule="atLeast"/>
        </w:trPr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Účel použitia podielu zaplatenej dane </w:t>
            </w:r>
          </w:p>
        </w:tc>
        <w:tc>
          <w:tcPr>
            <w:tcW w:w="2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Použitá suma z bezprostredne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predchádzajúceho účtovného obdobia</w:t>
            </w: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Použitá suma bežného  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účtovného obdobia</w:t>
            </w:r>
          </w:p>
        </w:tc>
      </w:tr>
      <w:tr>
        <w:trPr>
          <w:trHeight w:val="295" w:hRule="atLeast"/>
        </w:trPr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nákup športového oblečenia na preteky a činnosť</w:t>
            </w:r>
          </w:p>
        </w:tc>
        <w:tc>
          <w:tcPr>
            <w:tcW w:w="2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Arial Narrow" w:hAnsi="Arial Narrow" w:eastAsia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Cs/>
                <w:color w:val="000000"/>
                <w:sz w:val="16"/>
                <w:szCs w:val="16"/>
              </w:rPr>
              <w:t>12 908</w:t>
            </w:r>
          </w:p>
        </w:tc>
      </w:tr>
      <w:tr>
        <w:trPr>
          <w:trHeight w:val="292" w:hRule="atLeast"/>
        </w:trPr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77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4" w:hanging="0"/>
              <w:rPr>
                <w:rFonts w:ascii="Arial Narrow" w:hAnsi="Arial Narrow" w:eastAsia="Arial Narrow" w:cs="Arial Narrow"/>
                <w:b/>
                <w:b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28"/>
        <w:ind w:left="689" w:right="346" w:hanging="55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(7) </w:t>
        <w:tab/>
        <w:t xml:space="preserve">Opis a suma významných položiek finančných nákladov; uvádza sa aj celková suma kurzových strát, pričom osobitne sa uvádza hodnota  kurzových strát účtovaná ku dňu, ku ktorému sa zostavuje účtovná závierka. </w:t>
      </w:r>
    </w:p>
    <w:tbl>
      <w:tblPr>
        <w:tblStyle w:val="affe"/>
        <w:tblW w:w="10087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931"/>
        <w:gridCol w:w="3155"/>
      </w:tblGrid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8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významných položiek finančných nákladov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celková hodnota kurzových strát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Noto Sans Symbols" w:cs="Noto Sans Symbols" w:ascii="Noto Sans Symbols" w:hAnsi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 xml:space="preserve">ostatné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28"/>
        <w:ind w:left="681" w:right="347" w:hanging="543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(8) </w:t>
        <w:tab/>
        <w:t xml:space="preserve">V účtovnej jednotke, ktorá má povinnosť overenia účtovnej závierky audítorom, sa uvedie vymedzenie a suma nákladov za účtovné obdobie  v členení na náklady za </w:t>
      </w:r>
    </w:p>
    <w:p>
      <w:pPr>
        <w:pStyle w:val="Normal"/>
        <w:widowControl w:val="false"/>
        <w:spacing w:lineRule="auto" w:line="240" w:before="4" w:after="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a) overenie účtovnej závierky, </w:t>
      </w:r>
    </w:p>
    <w:p>
      <w:pPr>
        <w:pStyle w:val="Normal"/>
        <w:widowControl w:val="false"/>
        <w:spacing w:lineRule="auto" w:line="240"/>
        <w:ind w:left="487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b) uisťovacie audítorské služby s výnimkou overenia účtovnej závierky, </w:t>
      </w:r>
    </w:p>
    <w:p>
      <w:pPr>
        <w:pStyle w:val="Normal"/>
        <w:widowControl w:val="false"/>
        <w:spacing w:lineRule="auto" w:line="24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c) súvisiace audítorské služby, </w:t>
      </w:r>
    </w:p>
    <w:p>
      <w:pPr>
        <w:pStyle w:val="Normal"/>
        <w:widowControl w:val="false"/>
        <w:spacing w:lineRule="auto" w:line="24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d) daňové poradenstvo, </w:t>
      </w:r>
    </w:p>
    <w:p>
      <w:pPr>
        <w:pStyle w:val="Normal"/>
        <w:widowControl w:val="false"/>
        <w:spacing w:lineRule="auto" w:line="24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e) ostatné neaudítorské služby. </w:t>
      </w:r>
    </w:p>
    <w:p>
      <w:pPr>
        <w:pStyle w:val="Normal"/>
        <w:widowControl w:val="false"/>
        <w:spacing w:lineRule="auto" w:line="240"/>
        <w:ind w:left="117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17" w:hanging="0"/>
        <w:rPr>
          <w:rFonts w:ascii="Arial Narrow" w:hAnsi="Arial Narrow" w:eastAsia="Arial Narrow" w:cs="Arial Narrow"/>
          <w:b/>
          <w:b/>
          <w:i/>
          <w:i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  </w:t>
      </w:r>
      <w:r>
        <w:rPr>
          <w:rFonts w:eastAsia="Arial Narrow" w:cs="Arial Narrow" w:ascii="Arial Narrow" w:hAnsi="Arial Narrow"/>
          <w:b/>
          <w:i/>
          <w:color w:val="000000"/>
          <w:sz w:val="18"/>
          <w:szCs w:val="18"/>
        </w:rPr>
        <w:t xml:space="preserve">Tabuľka k čl. IV ods. 8 o nákladoch vynaložených v súvislosti s auditom účtovnej závierky </w:t>
      </w:r>
    </w:p>
    <w:tbl>
      <w:tblPr>
        <w:tblStyle w:val="afff"/>
        <w:tblW w:w="10087" w:type="dxa"/>
        <w:jc w:val="left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818"/>
        <w:gridCol w:w="3268"/>
      </w:tblGrid>
      <w:tr>
        <w:trPr>
          <w:trHeight w:val="295" w:hRule="atLeast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0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Jednotlivé druhy nákladov za 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>
        <w:trPr>
          <w:trHeight w:val="292" w:hRule="atLeast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6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overenie účtovnej závierky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21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8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súvisiace audítorské služby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7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daňové poradenstvo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  <w:t>ostatné neaudítorské služby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119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ind w:left="4925" w:hanging="0"/>
        <w:rPr>
          <w:rFonts w:ascii="Arial Narrow" w:hAnsi="Arial Narrow" w:eastAsia="Arial Narrow" w:cs="Arial Narrow"/>
          <w:b/>
          <w:b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b/>
          <w:color w:val="000000"/>
          <w:sz w:val="19"/>
          <w:szCs w:val="19"/>
        </w:rPr>
        <w:t xml:space="preserve">Čl. V </w:t>
      </w:r>
    </w:p>
    <w:p>
      <w:pPr>
        <w:pStyle w:val="Normal"/>
        <w:widowControl w:val="false"/>
        <w:spacing w:lineRule="auto" w:line="240"/>
        <w:ind w:left="3580" w:hanging="0"/>
        <w:rPr>
          <w:rFonts w:ascii="Arial Narrow" w:hAnsi="Arial Narrow" w:eastAsia="Arial Narrow" w:cs="Arial Narrow"/>
          <w:b/>
          <w:b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b/>
          <w:color w:val="000000"/>
          <w:sz w:val="19"/>
          <w:szCs w:val="19"/>
        </w:rPr>
        <w:t xml:space="preserve">Opis údajov na podsúvahových účtoch </w:t>
      </w:r>
    </w:p>
    <w:p>
      <w:pPr>
        <w:pStyle w:val="Normal"/>
        <w:widowControl w:val="false"/>
        <w:spacing w:lineRule="auto" w:line="240" w:before="117" w:after="0"/>
        <w:ind w:left="399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Významné položky prenajatého majetku, majetku prijatého do úschovy, odpísané pohľadávky a prípadné ďalšie položky. </w:t>
      </w:r>
    </w:p>
    <w:tbl>
      <w:tblPr>
        <w:tblStyle w:val="afff0"/>
        <w:tblW w:w="10048" w:type="dxa"/>
        <w:jc w:val="left"/>
        <w:tblInd w:w="171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792"/>
        <w:gridCol w:w="3255"/>
      </w:tblGrid>
      <w:tr>
        <w:trPr>
          <w:trHeight w:val="292" w:hRule="atLeast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77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Významné položky </w:t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Hodnota majetku</w:t>
            </w:r>
          </w:p>
        </w:tc>
      </w:tr>
      <w:tr>
        <w:trPr>
          <w:trHeight w:val="295" w:hRule="atLeast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40"/>
        <w:ind w:left="4903" w:hanging="0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  <w:t xml:space="preserve">Čl. VI </w:t>
      </w:r>
    </w:p>
    <w:p>
      <w:pPr>
        <w:pStyle w:val="Normal"/>
        <w:widowControl w:val="false"/>
        <w:spacing w:lineRule="auto" w:line="240"/>
        <w:ind w:left="4432" w:hanging="0"/>
        <w:rPr>
          <w:rFonts w:ascii="Arial Narrow" w:hAnsi="Arial Narrow" w:eastAsia="Arial Narrow" w:cs="Arial Narrow"/>
          <w:b/>
          <w:b/>
          <w:color w:val="000000"/>
          <w:sz w:val="24"/>
          <w:szCs w:val="24"/>
        </w:rPr>
      </w:pPr>
      <w:r>
        <w:rPr>
          <w:rFonts w:eastAsia="Arial Narrow" w:cs="Arial Narrow" w:ascii="Arial Narrow" w:hAnsi="Arial Narrow"/>
          <w:b/>
          <w:color w:val="000000"/>
          <w:sz w:val="24"/>
          <w:szCs w:val="24"/>
        </w:rPr>
        <w:t xml:space="preserve">Ďalšie informácie </w:t>
      </w:r>
    </w:p>
    <w:p>
      <w:pPr>
        <w:pStyle w:val="Normal"/>
        <w:widowControl w:val="false"/>
        <w:spacing w:lineRule="auto" w:line="228" w:before="57" w:after="0"/>
        <w:ind w:left="684" w:right="348" w:hanging="555"/>
        <w:jc w:val="both"/>
        <w:rPr>
          <w:rFonts w:ascii="Arial Narrow" w:hAnsi="Arial Narrow" w:eastAsia="Arial Narrow" w:cs="Arial Narrow"/>
          <w:color w:val="000000"/>
          <w:sz w:val="16"/>
          <w:szCs w:val="16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(1) </w:t>
        <w:tab/>
        <w:t>Opis a hodnota iných aktív, ktorými sa rozumie možný majetok, ktorý vznikol v dôsledku minulých udalostí a ktorého existencia alebo vlastníctvo závisí od toho, či  nastane alebo nenastane jedna alebo viac neistých udalostí v budúcnosti, ktorých vznik nezávisí od účtovnej jednotky; týmito inými aktívami sú napríklad práva zo  servisných zmlúv, poistných zmlúv, koncesionárskych zmlúv, licenčných zmlúv, práva z investovania prostriedkov získaných oslobodením od dane z príjmov</w:t>
      </w:r>
      <w:r>
        <w:rPr>
          <w:rFonts w:eastAsia="Arial Narrow" w:cs="Arial Narrow" w:ascii="Arial Narrow" w:hAnsi="Arial Narrow"/>
          <w:color w:val="000000"/>
          <w:sz w:val="16"/>
          <w:szCs w:val="16"/>
        </w:rPr>
        <w:t xml:space="preserve">. </w:t>
      </w:r>
    </w:p>
    <w:tbl>
      <w:tblPr>
        <w:tblStyle w:val="afff1"/>
        <w:tblW w:w="10118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864"/>
        <w:gridCol w:w="3253"/>
      </w:tblGrid>
      <w:tr>
        <w:trPr>
          <w:trHeight w:val="295" w:hRule="atLeast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iných aktív </w:t>
            </w: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Hodnota </w:t>
            </w:r>
          </w:p>
        </w:tc>
      </w:tr>
      <w:tr>
        <w:trPr>
          <w:trHeight w:val="292" w:hRule="atLeast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20"/>
        <w:ind w:left="673" w:right="347" w:hanging="543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6"/>
          <w:szCs w:val="16"/>
        </w:rPr>
        <w:t xml:space="preserve">(2) </w:t>
        <w:tab/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Opis a hodnota iných pasív vyplývajúcich zo súdnych rozhodnutí, z poskytnutých záruk, zo všeobecne záväzných právnych predpisov, z ručenia podľa  jednotlivých druhov ručenia; takýmito inými pasívami sú:  </w:t>
      </w:r>
    </w:p>
    <w:p>
      <w:pPr>
        <w:pStyle w:val="Normal"/>
        <w:widowControl w:val="false"/>
        <w:spacing w:lineRule="auto" w:line="220" w:before="6" w:after="0"/>
        <w:ind w:left="834" w:right="349" w:hanging="354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a) možná povinnosť, ktorá vznikla ako dôsledok minulej udalosti a ktorej existencia závisí od toho, či nastane alebo nenastane jedna alebo viac neistých udalostí  v </w:t>
      </w:r>
    </w:p>
    <w:p>
      <w:pPr>
        <w:pStyle w:val="Normal"/>
        <w:widowControl w:val="false"/>
        <w:spacing w:lineRule="auto" w:line="220" w:before="6" w:after="0"/>
        <w:ind w:left="834" w:right="349" w:hanging="354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budúcnosti, ktorých vznik nezávisí od účtovnej jednotky, alebo </w:t>
      </w:r>
    </w:p>
    <w:p>
      <w:pPr>
        <w:pStyle w:val="Normal"/>
        <w:widowControl w:val="false"/>
        <w:spacing w:lineRule="auto" w:line="220" w:before="6" w:after="0"/>
        <w:ind w:left="841" w:right="350" w:hanging="357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b) povinnosť, ktorá vznikla ako dôsledok minulej udalosti, ale ktorá sa nevykazuje v súvahe, pretože nie je pravdepodobné, že na splnenie tejto povinnosti bude  potrebný </w:t>
      </w:r>
    </w:p>
    <w:p>
      <w:pPr>
        <w:pStyle w:val="Normal"/>
        <w:widowControl w:val="false"/>
        <w:spacing w:lineRule="auto" w:line="220" w:before="6" w:after="0"/>
        <w:ind w:left="841" w:right="350" w:hanging="357"/>
        <w:jc w:val="both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    </w:t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úbytok ekonomických úžitkov, alebo výška tejto povinnosti sa nedá spoľahlivo oceniť. </w:t>
      </w:r>
    </w:p>
    <w:tbl>
      <w:tblPr>
        <w:tblStyle w:val="afff2"/>
        <w:tblW w:w="10118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864"/>
        <w:gridCol w:w="3253"/>
      </w:tblGrid>
      <w:tr>
        <w:trPr>
          <w:trHeight w:val="292" w:hRule="atLeast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1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iných pasív </w:t>
            </w: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Hodnota </w:t>
            </w:r>
          </w:p>
        </w:tc>
      </w:tr>
      <w:tr>
        <w:trPr>
          <w:trHeight w:val="295" w:hRule="atLeast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>
          <w:color w:val="000000"/>
        </w:rPr>
      </w:r>
    </w:p>
    <w:p>
      <w:pPr>
        <w:pStyle w:val="Normal"/>
        <w:widowControl w:val="false"/>
        <w:spacing w:lineRule="auto" w:line="220"/>
        <w:ind w:left="681" w:right="349" w:hanging="545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6"/>
          <w:szCs w:val="16"/>
        </w:rPr>
        <w:t xml:space="preserve">(3) </w:t>
        <w:tab/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Opis významných položiek ostatných finančných povinností, ktoré sa nesledujú v účtovníctve a neuvádzajú sa v súvahe; pri každej položke sa uvádza jej opis,  výška a údaj, či sa týka spriaznených osôb, a to </w:t>
      </w:r>
    </w:p>
    <w:p>
      <w:pPr>
        <w:pStyle w:val="Normal"/>
        <w:widowControl w:val="false"/>
        <w:spacing w:lineRule="auto" w:line="240" w:before="6" w:after="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a) povinnosť z devízových termínovaných obchodov a iných finančných derivátov, </w:t>
      </w:r>
    </w:p>
    <w:p>
      <w:pPr>
        <w:pStyle w:val="Normal"/>
        <w:widowControl w:val="false"/>
        <w:spacing w:lineRule="auto" w:line="240"/>
        <w:ind w:left="486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b) povinnosť z opčných obchodov, </w:t>
      </w:r>
    </w:p>
    <w:p>
      <w:pPr>
        <w:pStyle w:val="Normal"/>
        <w:widowControl w:val="false"/>
        <w:spacing w:lineRule="auto" w:line="228"/>
        <w:ind w:left="482" w:right="1529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c) zákonná povinnosť alebo zmluvná povinnosť odobrať určité produkty alebo služby, napríklad z dodávateľských alebo odberateľských zmlúv, d) povinnosť z leasingových, nájomných, servisných, poistných, koncesionárskych, licenčných zmlúv a podobných zmlúv, </w:t>
      </w:r>
    </w:p>
    <w:p>
      <w:pPr>
        <w:pStyle w:val="Normal"/>
        <w:widowControl w:val="false"/>
        <w:spacing w:lineRule="auto" w:line="240" w:before="1" w:after="0"/>
        <w:ind w:left="482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e) iné povinnosti.  </w:t>
      </w:r>
    </w:p>
    <w:tbl>
      <w:tblPr>
        <w:tblStyle w:val="afff3"/>
        <w:tblW w:w="10118" w:type="dxa"/>
        <w:jc w:val="left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4363"/>
        <w:gridCol w:w="2382"/>
        <w:gridCol w:w="3373"/>
      </w:tblGrid>
      <w:tr>
        <w:trPr>
          <w:trHeight w:val="292" w:hRule="atLeast"/>
        </w:trPr>
        <w:tc>
          <w:tcPr>
            <w:tcW w:w="4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ind w:left="82" w:hanging="0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Opis významných položiek ostatných finančných povinností </w:t>
            </w:r>
          </w:p>
        </w:tc>
        <w:tc>
          <w:tcPr>
            <w:tcW w:w="2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 xml:space="preserve">Výška </w:t>
            </w:r>
          </w:p>
        </w:tc>
        <w:tc>
          <w:tcPr>
            <w:tcW w:w="33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  <w:t>Spriaznené osoby</w:t>
            </w:r>
          </w:p>
        </w:tc>
      </w:tr>
      <w:tr>
        <w:trPr>
          <w:trHeight w:val="295" w:hRule="atLeast"/>
        </w:trPr>
        <w:tc>
          <w:tcPr>
            <w:tcW w:w="4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3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2" w:hRule="atLeast"/>
        </w:trPr>
        <w:tc>
          <w:tcPr>
            <w:tcW w:w="4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3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295" w:hRule="atLeast"/>
        </w:trPr>
        <w:tc>
          <w:tcPr>
            <w:tcW w:w="4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3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  <w:tr>
        <w:trPr>
          <w:trHeight w:val="318" w:hRule="atLeast"/>
        </w:trPr>
        <w:tc>
          <w:tcPr>
            <w:tcW w:w="4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2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  <w:tc>
          <w:tcPr>
            <w:tcW w:w="33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b/>
                <w:b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spacing w:lineRule="auto" w:line="24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spacing w:lineRule="auto" w:line="24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spacing w:lineRule="auto" w:line="24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spacing w:lineRule="auto" w:line="24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spacing w:lineRule="auto" w:line="24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spacing w:lineRule="auto" w:line="240"/>
        <w:rPr>
          <w:rFonts w:ascii="Arial Narrow" w:hAnsi="Arial Narrow" w:eastAsia="Arial Narrow" w:cs="Arial Narrow"/>
          <w:color w:val="000000"/>
          <w:sz w:val="19"/>
          <w:szCs w:val="19"/>
        </w:rPr>
      </w:pPr>
      <w:r>
        <w:rPr>
          <w:rFonts w:eastAsia="Arial Narrow" w:cs="Arial Narrow" w:ascii="Arial Narrow" w:hAnsi="Arial Narrow"/>
          <w:color w:val="000000"/>
          <w:sz w:val="19"/>
          <w:szCs w:val="19"/>
        </w:rPr>
      </w:r>
    </w:p>
    <w:p>
      <w:pPr>
        <w:pStyle w:val="Normal"/>
        <w:widowControl w:val="false"/>
        <w:spacing w:lineRule="auto" w:line="240"/>
        <w:ind w:left="136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6"/>
          <w:szCs w:val="16"/>
        </w:rPr>
        <w:t xml:space="preserve">(4) </w:t>
        <w:tab/>
      </w: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Prehľad nehnuteľných kultúrnych pamiatok, ktoré sú v správe alebo vo vlastníctve účtovnej jednotky. </w:t>
      </w:r>
    </w:p>
    <w:tbl>
      <w:tblPr>
        <w:tblStyle w:val="afff4"/>
        <w:tblW w:w="10168" w:type="dxa"/>
        <w:jc w:val="left"/>
        <w:tblInd w:w="103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5058"/>
        <w:gridCol w:w="5109"/>
      </w:tblGrid>
      <w:tr>
        <w:trPr>
          <w:trHeight w:val="312" w:hRule="atLeast"/>
        </w:trPr>
        <w:tc>
          <w:tcPr>
            <w:tcW w:w="5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  <w:tc>
          <w:tcPr>
            <w:tcW w:w="5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  <w:tr>
        <w:trPr>
          <w:trHeight w:val="314" w:hRule="atLeast"/>
        </w:trPr>
        <w:tc>
          <w:tcPr>
            <w:tcW w:w="5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  <w:tc>
          <w:tcPr>
            <w:tcW w:w="5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  <w:tr>
        <w:trPr>
          <w:trHeight w:val="314" w:hRule="atLeast"/>
        </w:trPr>
        <w:tc>
          <w:tcPr>
            <w:tcW w:w="5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  <w:tc>
          <w:tcPr>
            <w:tcW w:w="5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  <w:tr>
        <w:trPr>
          <w:trHeight w:val="311" w:hRule="atLeast"/>
        </w:trPr>
        <w:tc>
          <w:tcPr>
            <w:tcW w:w="5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  <w:tc>
          <w:tcPr>
            <w:tcW w:w="5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  <w:tr>
        <w:trPr>
          <w:trHeight w:val="314" w:hRule="atLeast"/>
        </w:trPr>
        <w:tc>
          <w:tcPr>
            <w:tcW w:w="5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  <w:tc>
          <w:tcPr>
            <w:tcW w:w="5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</w:tbl>
    <w:p>
      <w:pPr>
        <w:pStyle w:val="Normal"/>
        <w:widowControl w:val="false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</w:r>
    </w:p>
    <w:p>
      <w:pPr>
        <w:pStyle w:val="Normal"/>
        <w:widowControl w:val="false"/>
        <w:spacing w:lineRule="auto" w:line="240"/>
        <w:ind w:left="136" w:hanging="0"/>
        <w:rPr>
          <w:rFonts w:ascii="Arial Narrow" w:hAnsi="Arial Narrow" w:eastAsia="Arial Narrow" w:cs="Arial Narrow"/>
          <w:color w:val="000000"/>
          <w:sz w:val="18"/>
          <w:szCs w:val="18"/>
        </w:rPr>
      </w:pPr>
      <w:r>
        <w:rPr>
          <w:rFonts w:eastAsia="Arial Narrow" w:cs="Arial Narrow" w:ascii="Arial Narrow" w:hAnsi="Arial Narrow"/>
          <w:color w:val="000000"/>
          <w:sz w:val="18"/>
          <w:szCs w:val="18"/>
        </w:rPr>
        <w:t xml:space="preserve">(5) </w:t>
        <w:tab/>
        <w:t xml:space="preserve">Informácie o významných skutočnostiach, ktoré nastali medzi dňom, ku ktorému sa zostavuje účtovná závierka a dňom jej zostavenia. </w:t>
      </w:r>
    </w:p>
    <w:tbl>
      <w:tblPr>
        <w:tblStyle w:val="afff5"/>
        <w:tblW w:w="10171" w:type="dxa"/>
        <w:jc w:val="left"/>
        <w:tblInd w:w="102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10171"/>
      </w:tblGrid>
      <w:tr>
        <w:trPr>
          <w:trHeight w:val="311" w:hRule="atLeast"/>
        </w:trPr>
        <w:tc>
          <w:tcPr>
            <w:tcW w:w="10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  <w:tr>
        <w:trPr>
          <w:trHeight w:val="314" w:hRule="atLeast"/>
        </w:trPr>
        <w:tc>
          <w:tcPr>
            <w:tcW w:w="10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  <w:tr>
        <w:trPr>
          <w:trHeight w:val="314" w:hRule="atLeast"/>
        </w:trPr>
        <w:tc>
          <w:tcPr>
            <w:tcW w:w="10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8"/>
                <w:szCs w:val="18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8"/>
                <w:szCs w:val="18"/>
              </w:rPr>
            </w:r>
          </w:p>
        </w:tc>
      </w:tr>
      <w:tr>
        <w:trPr>
          <w:trHeight w:val="312" w:hRule="atLeast"/>
        </w:trPr>
        <w:tc>
          <w:tcPr>
            <w:tcW w:w="10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  <w:tr>
        <w:trPr>
          <w:trHeight w:val="314" w:hRule="atLeast"/>
        </w:trPr>
        <w:tc>
          <w:tcPr>
            <w:tcW w:w="10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 Narrow" w:hAnsi="Arial Narrow" w:eastAsia="Arial Narrow" w:cs="Arial Narrow"/>
                <w:color w:val="000000"/>
                <w:sz w:val="16"/>
                <w:szCs w:val="16"/>
              </w:rPr>
            </w:pPr>
            <w:r>
              <w:rPr>
                <w:rFonts w:eastAsia="Arial Narrow" w:cs="Arial Narrow" w:ascii="Arial Narrow" w:hAnsi="Arial Narrow"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widowControl w:val="false"/>
        <w:rPr>
          <w:color w:val="000000"/>
        </w:rPr>
      </w:pPr>
      <w:r>
        <w:rPr/>
      </w:r>
    </w:p>
    <w:sectPr>
      <w:type w:val="continuous"/>
      <w:pgSz w:w="11906" w:h="16820"/>
      <w:pgMar w:left="1044" w:right="871" w:gutter="0" w:header="0" w:top="1281" w:footer="720" w:bottom="1200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Georgia">
    <w:charset w:val="00"/>
    <w:family w:val="roman"/>
    <w:pitch w:val="variable"/>
  </w:font>
  <w:font w:name="Arial Narrow">
    <w:charset w:val="00"/>
    <w:family w:val="roman"/>
    <w:pitch w:val="variable"/>
  </w:font>
  <w:font w:name="Noto Sans Symbols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1339370479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16</w:t>
        </w:r>
        <w:r>
          <w:rPr/>
          <w:fldChar w:fldCharType="end"/>
        </w:r>
      </w:p>
      <w:p>
        <w:pPr>
          <w:pStyle w:val="Pta"/>
          <w:rPr/>
        </w:pPr>
        <w:r>
          <w:rPr/>
        </w:r>
      </w:p>
    </w:sdtContent>
  </w:sdt>
</w:ftr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sk-SK" w:eastAsia="sk-SK" w:bidi="ar-SA"/>
    </w:rPr>
  </w:style>
  <w:style w:type="paragraph" w:styleId="Nadpis1">
    <w:name w:val="Heading 1"/>
    <w:basedOn w:val="Normal"/>
    <w:next w:val="Normal"/>
    <w:uiPriority w:val="9"/>
    <w:qFormat/>
    <w:pPr>
      <w:keepNext w:val="true"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al"/>
    <w:next w:val="Normal"/>
    <w:uiPriority w:val="9"/>
    <w:unhideWhenUsed/>
    <w:qFormat/>
    <w:pPr>
      <w:keepNext w:val="true"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al"/>
    <w:next w:val="Normal"/>
    <w:uiPriority w:val="9"/>
    <w:semiHidden/>
    <w:unhideWhenUsed/>
    <w:qFormat/>
    <w:pPr>
      <w:keepNext w:val="true"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al"/>
    <w:next w:val="Normal"/>
    <w:uiPriority w:val="9"/>
    <w:semiHidden/>
    <w:unhideWhenUsed/>
    <w:qFormat/>
    <w:pPr>
      <w:keepNext w:val="true"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al"/>
    <w:next w:val="Normal"/>
    <w:uiPriority w:val="9"/>
    <w:semiHidden/>
    <w:unhideWhenUsed/>
    <w:qFormat/>
    <w:pPr>
      <w:keepNext w:val="true"/>
      <w:keepLines/>
      <w:spacing w:before="220" w:after="40"/>
      <w:outlineLvl w:val="4"/>
    </w:pPr>
    <w:rPr>
      <w:b/>
    </w:rPr>
  </w:style>
  <w:style w:type="paragraph" w:styleId="Nadpis6">
    <w:name w:val="Heading 6"/>
    <w:basedOn w:val="Normal"/>
    <w:next w:val="Normal"/>
    <w:uiPriority w:val="9"/>
    <w:semiHidden/>
    <w:unhideWhenUsed/>
    <w:qFormat/>
    <w:pPr>
      <w:keepNext w:val="true"/>
      <w:keepLines/>
      <w:spacing w:before="200" w:after="40"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ubtleEmphasis">
    <w:name w:val="Subtle Emphasis"/>
    <w:basedOn w:val="DefaultParagraphFont"/>
    <w:uiPriority w:val="19"/>
    <w:qFormat/>
    <w:rsid w:val="000900ad"/>
    <w:rPr>
      <w:i/>
      <w:iCs/>
      <w:color w:val="404040" w:themeColor="text1" w:themeTint="bf"/>
    </w:rPr>
  </w:style>
  <w:style w:type="character" w:styleId="HlavikaChar" w:customStyle="1">
    <w:name w:val="Hlavička Char"/>
    <w:basedOn w:val="DefaultParagraphFont"/>
    <w:uiPriority w:val="99"/>
    <w:qFormat/>
    <w:rsid w:val="008d0514"/>
    <w:rPr/>
  </w:style>
  <w:style w:type="character" w:styleId="PtaChar" w:customStyle="1">
    <w:name w:val="Päta Char"/>
    <w:basedOn w:val="DefaultParagraphFont"/>
    <w:uiPriority w:val="99"/>
    <w:qFormat/>
    <w:rsid w:val="008d0514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Nzov">
    <w:name w:val="Title"/>
    <w:basedOn w:val="Normal"/>
    <w:next w:val="Normal"/>
    <w:uiPriority w:val="10"/>
    <w:qFormat/>
    <w:pPr>
      <w:keepNext w:val="true"/>
      <w:keepLines/>
      <w:spacing w:before="480" w:after="120"/>
    </w:pPr>
    <w:rPr>
      <w:b/>
      <w:sz w:val="72"/>
      <w:szCs w:val="72"/>
    </w:rPr>
  </w:style>
  <w:style w:type="paragraph" w:styleId="Podnzov">
    <w:name w:val="Subtitle"/>
    <w:basedOn w:val="Normal"/>
    <w:next w:val="Normal"/>
    <w:uiPriority w:val="11"/>
    <w:qFormat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NoSpacing">
    <w:name w:val="No Spacing"/>
    <w:uiPriority w:val="1"/>
    <w:qFormat/>
    <w:rsid w:val="000900ad"/>
    <w:pPr>
      <w:widowControl/>
      <w:suppressAutoHyphens w:val="true"/>
      <w:bidi w:val="0"/>
      <w:spacing w:lineRule="auto" w:line="240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sk-SK" w:eastAsia="sk-SK" w:bidi="ar-SA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8d0514"/>
    <w:pPr>
      <w:tabs>
        <w:tab w:val="clear" w:pos="720"/>
        <w:tab w:val="center" w:pos="4536" w:leader="none"/>
        <w:tab w:val="right" w:pos="9072" w:leader="none"/>
      </w:tabs>
      <w:spacing w:lineRule="auto" w:line="240"/>
    </w:pPr>
    <w:rPr/>
  </w:style>
  <w:style w:type="paragraph" w:styleId="Pta">
    <w:name w:val="Footer"/>
    <w:basedOn w:val="Normal"/>
    <w:link w:val="PtaChar"/>
    <w:uiPriority w:val="99"/>
    <w:unhideWhenUsed/>
    <w:rsid w:val="008d0514"/>
    <w:pPr>
      <w:tabs>
        <w:tab w:val="clear" w:pos="720"/>
        <w:tab w:val="center" w:pos="4536" w:leader="none"/>
        <w:tab w:val="right" w:pos="9072" w:leader="none"/>
      </w:tabs>
      <w:spacing w:lineRule="auto" w:line="24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Application>LibreOffice/7.3.3.2$Windows_X86_64 LibreOffice_project/d1d0ea68f081ee2800a922cac8f79445e4603348</Application>
  <AppVersion>15.0000</AppVersion>
  <Pages>17</Pages>
  <Words>3560</Words>
  <Characters>21428</Characters>
  <CharactersWithSpaces>25007</CharactersWithSpaces>
  <Paragraphs>842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2022-03-25T09:59:00Z</dcterms:created>
  <dc:creator>Pouzivatel</dc:creator>
  <dc:description/>
  <dc:language>sk-SK</dc:language>
  <cp:lastModifiedBy/>
  <cp:lastPrinted>2021-04-28T08:48:00Z</cp:lastPrinted>
  <dcterms:modified xsi:type="dcterms:W3CDTF">2024-03-28T20:45:39Z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