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katabul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:rsidTr="00626610">
        <w:tc>
          <w:tcPr>
            <w:tcW w:w="3061" w:type="dxa"/>
            <w:vAlign w:val="center"/>
          </w:tcPr>
          <w:p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r w:rsidRPr="00D90FC4">
              <w:rPr>
                <w:sz w:val="22"/>
                <w:szCs w:val="22"/>
                <w:lang w:eastAsia="sk-SK"/>
              </w:rPr>
              <w:t xml:space="preserve">Úč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626610" w:rsidRPr="00D90FC4" w:rsidRDefault="001C2A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626610" w:rsidRPr="00D90FC4" w:rsidRDefault="001C2A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626610" w:rsidRPr="00D90FC4" w:rsidRDefault="001C2A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626610" w:rsidRPr="00D90FC4" w:rsidRDefault="001C2A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626610" w:rsidRPr="00D90FC4" w:rsidRDefault="001C2A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:rsidR="00626610" w:rsidRPr="00D90FC4" w:rsidRDefault="001C2A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:rsidR="00626610" w:rsidRPr="00D90FC4" w:rsidRDefault="001C2A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:rsidR="00626610" w:rsidRPr="00D90FC4" w:rsidRDefault="001C2A06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:rsidR="00D90FC4" w:rsidRPr="00D90FC4" w:rsidRDefault="001C2A06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2023</w:t>
      </w: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:rsidR="001C2A06" w:rsidRPr="001C2A06" w:rsidRDefault="00DB1285" w:rsidP="001C2A06">
      <w:pPr>
        <w:spacing w:before="0" w:line="240" w:lineRule="auto"/>
        <w:rPr>
          <w:b/>
          <w:color w:val="FF0000"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1C2A06">
        <w:rPr>
          <w:sz w:val="22"/>
          <w:szCs w:val="22"/>
        </w:rPr>
        <w:t xml:space="preserve">Združenie  obcí Termál  je samostatnou právnickou osobou, je záujmové združenie  obcí: Podhájska, Bardoňovo, Čechy, Dedinka, Dolný Ohaj, Hul, Kolta, Maňa, Pozba, Radava, Trávnica, Veľké Lovce a Vlkas . Dátum založenia  OZ </w:t>
      </w:r>
      <w:r w:rsidR="000605B0">
        <w:rPr>
          <w:sz w:val="22"/>
          <w:szCs w:val="22"/>
        </w:rPr>
        <w:t>23</w:t>
      </w:r>
      <w:r w:rsidR="000605B0" w:rsidRPr="000605B0">
        <w:rPr>
          <w:sz w:val="22"/>
          <w:szCs w:val="22"/>
        </w:rPr>
        <w:t>.05</w:t>
      </w:r>
      <w:r w:rsidR="001C2A06" w:rsidRPr="000605B0">
        <w:rPr>
          <w:sz w:val="22"/>
          <w:szCs w:val="22"/>
        </w:rPr>
        <w:t>.2000</w:t>
      </w:r>
      <w:bookmarkStart w:id="0" w:name="_GoBack"/>
      <w:bookmarkEnd w:id="0"/>
    </w:p>
    <w:p w:rsidR="00A02521" w:rsidRPr="00D90FC4" w:rsidRDefault="001C2A06" w:rsidP="001C2A06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A02521" w:rsidRPr="00D90FC4">
        <w:rPr>
          <w:sz w:val="22"/>
          <w:szCs w:val="22"/>
        </w:rPr>
        <w:t xml:space="preserve">(2) </w:t>
      </w:r>
      <w:r>
        <w:rPr>
          <w:sz w:val="22"/>
          <w:szCs w:val="22"/>
        </w:rPr>
        <w:t xml:space="preserve">Predsedom združenia je Ivan Solár. </w:t>
      </w:r>
    </w:p>
    <w:p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</w:t>
      </w:r>
      <w:r w:rsidR="001C2A06">
        <w:rPr>
          <w:sz w:val="22"/>
          <w:szCs w:val="22"/>
        </w:rPr>
        <w:t>Združenie je neziskovou organizáciou, ktorá svoje prostriedky  používa na rozvoj Mikroregiónu a okolia.</w:t>
      </w:r>
    </w:p>
    <w:p w:rsidR="001C2A06" w:rsidRPr="00D90FC4" w:rsidRDefault="001C2A06" w:rsidP="0055389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Hlavnou úlohou  je koordinácia činnosti obcí  i ostatných subjektov v regióne vo všetkých oblastiach regionálneho rozvoja s cieľom skvalitniť  životné podmienky  obyvateľov tohto regiónu v zmysle  trvalo udržiavateľného rozvoja .  Zároveň združenie zabezpečuje spoločné vystúpenie  i propagáciu Mikroregiónu  navonok</w:t>
      </w:r>
      <w:r w:rsidRPr="001B7E81">
        <w:rPr>
          <w:rFonts w:cs="Times New Roman"/>
          <w:sz w:val="22"/>
          <w:szCs w:val="22"/>
        </w:rPr>
        <w:t>.</w:t>
      </w:r>
    </w:p>
    <w:p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</w:t>
      </w:r>
      <w:r w:rsidR="002A0154">
        <w:rPr>
          <w:sz w:val="22"/>
          <w:szCs w:val="22"/>
        </w:rPr>
        <w:t xml:space="preserve">Nezisková organizácia vykonáva väčšinu svojej činností dobrovoľníkmi z jednotlivých zakladateľských obcí.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5557"/>
        <w:gridCol w:w="1843"/>
        <w:gridCol w:w="2268"/>
      </w:tblGrid>
      <w:tr w:rsidR="00C17AC2" w:rsidRPr="00D90FC4" w:rsidTr="00C17AC2">
        <w:tc>
          <w:tcPr>
            <w:tcW w:w="5557" w:type="dxa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2A015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:rsidR="00C17AC2" w:rsidRPr="00D90FC4" w:rsidRDefault="002A015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:rsidTr="00C17AC2">
        <w:trPr>
          <w:trHeight w:val="391"/>
        </w:trPr>
        <w:tc>
          <w:tcPr>
            <w:tcW w:w="5557" w:type="dxa"/>
            <w:vAlign w:val="center"/>
          </w:tcPr>
          <w:p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2A0154">
        <w:rPr>
          <w:sz w:val="22"/>
          <w:szCs w:val="22"/>
        </w:rPr>
        <w:t>Nezisková organizácia nezriadila žiadne iné účtovné jednotky.</w:t>
      </w:r>
    </w:p>
    <w:p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2A0154">
        <w:rPr>
          <w:sz w:val="22"/>
          <w:szCs w:val="22"/>
        </w:rPr>
        <w:t>Združenie obcí Termál predpokladá pokračovanie vo svojej činnosti aj v budúcom roku 2024.</w:t>
      </w:r>
      <w:r w:rsidRPr="00D90FC4">
        <w:rPr>
          <w:sz w:val="22"/>
          <w:szCs w:val="22"/>
        </w:rPr>
        <w:t xml:space="preserve"> </w:t>
      </w:r>
    </w:p>
    <w:p w:rsidR="002A0154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</w:t>
      </w:r>
      <w:r w:rsidR="002A0154">
        <w:rPr>
          <w:sz w:val="22"/>
          <w:szCs w:val="22"/>
        </w:rPr>
        <w:t xml:space="preserve">V roku 2023 prešla účtovná jednotka zo sústavy jednoduchého účtovníctva na účtovanie v sústave podvojného účtovníctva. </w:t>
      </w:r>
    </w:p>
    <w:p w:rsidR="002A0154" w:rsidRPr="006C6CEB" w:rsidRDefault="00A2267E" w:rsidP="002A0154">
      <w:pPr>
        <w:spacing w:before="0" w:after="0" w:line="240" w:lineRule="auto"/>
        <w:rPr>
          <w:rFonts w:cs="Times New Roman"/>
          <w:sz w:val="22"/>
          <w:szCs w:val="22"/>
        </w:rPr>
      </w:pPr>
      <w:r>
        <w:rPr>
          <w:sz w:val="22"/>
          <w:szCs w:val="22"/>
        </w:rPr>
        <w:t xml:space="preserve">(3) </w:t>
      </w:r>
      <w:r w:rsidR="002A0154" w:rsidRPr="006C6CEB">
        <w:rPr>
          <w:rFonts w:cs="Times New Roman"/>
          <w:sz w:val="22"/>
          <w:szCs w:val="22"/>
        </w:rPr>
        <w:t>Dlhodobý majetok obstaraný kúpou je oceňovaný obstarávacou cenou, ktorá zahŕňa cenu obstarania a náklady súvisiace s obstaraním ako sú clo, doprava, montáž, poistné a podobne.</w:t>
      </w:r>
    </w:p>
    <w:p w:rsidR="002A0154" w:rsidRPr="006C6CEB" w:rsidRDefault="002A0154" w:rsidP="002A0154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Dlhodobý majetok a zásoby obstarané bezodplatne sú ocenené buď cenou </w:t>
      </w:r>
      <w:r>
        <w:rPr>
          <w:rFonts w:cs="Times New Roman"/>
          <w:sz w:val="22"/>
          <w:szCs w:val="22"/>
        </w:rPr>
        <w:t xml:space="preserve">uvedenou </w:t>
      </w:r>
      <w:r w:rsidRPr="006C6CEB">
        <w:rPr>
          <w:rFonts w:cs="Times New Roman"/>
          <w:sz w:val="22"/>
          <w:szCs w:val="22"/>
        </w:rPr>
        <w:t xml:space="preserve">v darovacej zmluve alebo </w:t>
      </w:r>
      <w:r>
        <w:rPr>
          <w:rFonts w:cs="Times New Roman"/>
          <w:sz w:val="22"/>
          <w:szCs w:val="22"/>
        </w:rPr>
        <w:t>reálnou hodnotou</w:t>
      </w:r>
      <w:r w:rsidRPr="006C6CEB">
        <w:rPr>
          <w:rFonts w:cs="Times New Roman"/>
          <w:sz w:val="22"/>
          <w:szCs w:val="22"/>
        </w:rPr>
        <w:t>, ktorá predstavuje cenu, za ktorú by sa dlhodobý majetok obstaral</w:t>
      </w:r>
      <w:r>
        <w:rPr>
          <w:rFonts w:cs="Times New Roman"/>
          <w:sz w:val="22"/>
          <w:szCs w:val="22"/>
        </w:rPr>
        <w:t xml:space="preserve"> na maloobchodnom trhu</w:t>
      </w:r>
      <w:r w:rsidRPr="006C6CEB">
        <w:rPr>
          <w:rFonts w:cs="Times New Roman"/>
          <w:sz w:val="22"/>
          <w:szCs w:val="22"/>
        </w:rPr>
        <w:t xml:space="preserve"> v</w:t>
      </w:r>
      <w:r>
        <w:rPr>
          <w:rFonts w:cs="Times New Roman"/>
          <w:sz w:val="22"/>
          <w:szCs w:val="22"/>
        </w:rPr>
        <w:t> </w:t>
      </w:r>
      <w:r w:rsidRPr="006C6CEB">
        <w:rPr>
          <w:rFonts w:cs="Times New Roman"/>
          <w:sz w:val="22"/>
          <w:szCs w:val="22"/>
        </w:rPr>
        <w:t>čase</w:t>
      </w:r>
      <w:r>
        <w:rPr>
          <w:rFonts w:cs="Times New Roman"/>
          <w:sz w:val="22"/>
          <w:szCs w:val="22"/>
        </w:rPr>
        <w:t>,</w:t>
      </w:r>
      <w:r w:rsidRPr="006C6CEB">
        <w:rPr>
          <w:rFonts w:cs="Times New Roman"/>
          <w:sz w:val="22"/>
          <w:szCs w:val="22"/>
        </w:rPr>
        <w:t xml:space="preserve"> keď sa o ňom účtuje.</w:t>
      </w:r>
    </w:p>
    <w:p w:rsidR="002A0154" w:rsidRPr="006C6CEB" w:rsidRDefault="002A0154" w:rsidP="002A0154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 xml:space="preserve">Pohľadávky a záväzky sú oceňované menovitou hodnotou. </w:t>
      </w:r>
      <w:r>
        <w:rPr>
          <w:rFonts w:cs="Times New Roman"/>
          <w:sz w:val="22"/>
          <w:szCs w:val="22"/>
        </w:rPr>
        <w:t>Ocenenie pohľadávok sa znižuje o pochybné a nevymožiteľné pohľadávky.</w:t>
      </w:r>
    </w:p>
    <w:p w:rsidR="002A0154" w:rsidRPr="006C6CEB" w:rsidRDefault="002A0154" w:rsidP="002A0154">
      <w:pPr>
        <w:spacing w:before="0" w:after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Peňažné prostriedky a ceniny sa oceňujú menovitou hodnotou.</w:t>
      </w:r>
    </w:p>
    <w:p w:rsidR="00A2267E" w:rsidRPr="002A0154" w:rsidRDefault="002A0154" w:rsidP="00357FA2">
      <w:pPr>
        <w:spacing w:before="0" w:line="240" w:lineRule="auto"/>
        <w:rPr>
          <w:rFonts w:cs="Times New Roman"/>
          <w:sz w:val="22"/>
          <w:szCs w:val="22"/>
        </w:rPr>
      </w:pPr>
      <w:r w:rsidRPr="006C6CEB">
        <w:rPr>
          <w:rFonts w:cs="Times New Roman"/>
          <w:sz w:val="22"/>
          <w:szCs w:val="22"/>
        </w:rPr>
        <w:t>Výnosy budúcich období sa vykazujú vo výške, ktorou sa dodrží zásada vecnej a časovej súvislosti s účtovným obdobím.</w:t>
      </w:r>
    </w:p>
    <w:p w:rsidR="002A0154" w:rsidRPr="006C6CEB" w:rsidRDefault="00DB1285" w:rsidP="002A0154">
      <w:pPr>
        <w:spacing w:before="0" w:line="240" w:lineRule="auto"/>
        <w:rPr>
          <w:rFonts w:cs="Times New Roman"/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 xml:space="preserve">) </w:t>
      </w:r>
      <w:r w:rsidR="002A0154" w:rsidRPr="006C6CEB">
        <w:rPr>
          <w:rFonts w:cs="Times New Roman"/>
          <w:sz w:val="22"/>
          <w:szCs w:val="22"/>
        </w:rPr>
        <w:t>Odpisy dlhodobého majetku sú ustanovené na základe predpokladanej doby používania jednotlivých druhov dlhodobého majetku, pričom je použitá rovnomerná odpisová metóda počas celej predpokladanej doby používania majetku.</w:t>
      </w:r>
    </w:p>
    <w:p w:rsidR="002A0154" w:rsidRPr="007407CA" w:rsidRDefault="00FA0411" w:rsidP="002A0154">
      <w:pPr>
        <w:spacing w:before="0" w:line="240" w:lineRule="auto"/>
        <w:rPr>
          <w:rFonts w:cs="Times New Roman"/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="00C253E0">
        <w:rPr>
          <w:sz w:val="22"/>
          <w:szCs w:val="22"/>
        </w:rPr>
        <w:t>) Účtovná jednotka</w:t>
      </w:r>
      <w:r w:rsidR="002A0154" w:rsidRPr="006C6CEB">
        <w:rPr>
          <w:rFonts w:cs="Times New Roman"/>
          <w:sz w:val="22"/>
          <w:szCs w:val="22"/>
        </w:rPr>
        <w:t xml:space="preserve"> tvorí opravné položky k</w:t>
      </w:r>
      <w:r w:rsidR="002A0154">
        <w:rPr>
          <w:rFonts w:cs="Times New Roman"/>
          <w:sz w:val="22"/>
          <w:szCs w:val="22"/>
        </w:rPr>
        <w:t> </w:t>
      </w:r>
      <w:r w:rsidR="002A0154" w:rsidRPr="006C6CEB">
        <w:rPr>
          <w:rFonts w:cs="Times New Roman"/>
          <w:sz w:val="22"/>
          <w:szCs w:val="22"/>
        </w:rPr>
        <w:t>pohľadáv</w:t>
      </w:r>
      <w:r w:rsidR="002A0154">
        <w:rPr>
          <w:rFonts w:cs="Times New Roman"/>
          <w:sz w:val="22"/>
          <w:szCs w:val="22"/>
        </w:rPr>
        <w:t xml:space="preserve">ke  po lehote </w:t>
      </w:r>
      <w:r w:rsidR="002A0154" w:rsidRPr="006C6CEB">
        <w:rPr>
          <w:rFonts w:cs="Times New Roman"/>
          <w:sz w:val="22"/>
          <w:szCs w:val="22"/>
        </w:rPr>
        <w:t xml:space="preserve">splatnosti viac ako </w:t>
      </w:r>
      <w:r w:rsidR="002A0154">
        <w:rPr>
          <w:rFonts w:cs="Times New Roman"/>
          <w:sz w:val="22"/>
          <w:szCs w:val="22"/>
        </w:rPr>
        <w:t>24</w:t>
      </w:r>
      <w:r w:rsidR="002A0154" w:rsidRPr="006C6CEB">
        <w:rPr>
          <w:rFonts w:cs="Times New Roman"/>
          <w:sz w:val="22"/>
          <w:szCs w:val="22"/>
        </w:rPr>
        <w:t xml:space="preserve"> mesiacov</w:t>
      </w:r>
      <w:r w:rsidR="002A0154">
        <w:rPr>
          <w:rFonts w:cs="Times New Roman"/>
          <w:sz w:val="22"/>
          <w:szCs w:val="22"/>
        </w:rPr>
        <w:t xml:space="preserve"> vo výške 50 %.Ak je</w:t>
      </w:r>
      <w:r w:rsidR="002A0154" w:rsidRPr="006C6CEB">
        <w:rPr>
          <w:rFonts w:cs="Times New Roman"/>
          <w:sz w:val="22"/>
          <w:szCs w:val="22"/>
        </w:rPr>
        <w:t xml:space="preserve"> pohľadávk</w:t>
      </w:r>
      <w:r w:rsidR="002A0154">
        <w:rPr>
          <w:rFonts w:cs="Times New Roman"/>
          <w:sz w:val="22"/>
          <w:szCs w:val="22"/>
        </w:rPr>
        <w:t>a</w:t>
      </w:r>
      <w:r w:rsidR="002A0154" w:rsidRPr="006C6CEB">
        <w:rPr>
          <w:rFonts w:cs="Times New Roman"/>
          <w:sz w:val="22"/>
          <w:szCs w:val="22"/>
        </w:rPr>
        <w:t xml:space="preserve"> po </w:t>
      </w:r>
      <w:r w:rsidR="002A0154">
        <w:rPr>
          <w:rFonts w:cs="Times New Roman"/>
          <w:sz w:val="22"/>
          <w:szCs w:val="22"/>
        </w:rPr>
        <w:t xml:space="preserve">lehote </w:t>
      </w:r>
      <w:r w:rsidR="002A0154" w:rsidRPr="006C6CEB">
        <w:rPr>
          <w:rFonts w:cs="Times New Roman"/>
          <w:sz w:val="22"/>
          <w:szCs w:val="22"/>
        </w:rPr>
        <w:t xml:space="preserve">splatnosti viac ako </w:t>
      </w:r>
      <w:r w:rsidR="002A0154">
        <w:rPr>
          <w:rFonts w:cs="Times New Roman"/>
          <w:sz w:val="22"/>
          <w:szCs w:val="22"/>
        </w:rPr>
        <w:t>36</w:t>
      </w:r>
      <w:r w:rsidR="002A0154" w:rsidRPr="006C6CEB">
        <w:rPr>
          <w:rFonts w:cs="Times New Roman"/>
          <w:sz w:val="22"/>
          <w:szCs w:val="22"/>
        </w:rPr>
        <w:t xml:space="preserve"> mesiacov</w:t>
      </w:r>
      <w:r w:rsidR="002A0154">
        <w:rPr>
          <w:rFonts w:cs="Times New Roman"/>
          <w:sz w:val="22"/>
          <w:szCs w:val="22"/>
        </w:rPr>
        <w:t xml:space="preserve">, </w:t>
      </w:r>
      <w:r w:rsidR="002A0154" w:rsidRPr="006C6CEB">
        <w:rPr>
          <w:rFonts w:cs="Times New Roman"/>
          <w:sz w:val="22"/>
          <w:szCs w:val="22"/>
        </w:rPr>
        <w:t>odpíše sa v celej výške</w:t>
      </w:r>
      <w:r w:rsidR="00313DF1">
        <w:rPr>
          <w:rFonts w:cs="Times New Roman"/>
          <w:sz w:val="22"/>
          <w:szCs w:val="22"/>
        </w:rPr>
        <w:t>.</w:t>
      </w:r>
      <w:r w:rsidR="002A0154" w:rsidRPr="006C6CEB">
        <w:rPr>
          <w:rFonts w:cs="Times New Roman"/>
          <w:sz w:val="22"/>
          <w:szCs w:val="22"/>
        </w:rPr>
        <w:t xml:space="preserve"> </w:t>
      </w:r>
      <w:r w:rsidR="00313DF1">
        <w:rPr>
          <w:rFonts w:cs="Times New Roman"/>
          <w:sz w:val="22"/>
          <w:szCs w:val="22"/>
        </w:rPr>
        <w:t>P</w:t>
      </w:r>
      <w:r w:rsidR="002A0154" w:rsidRPr="006C6CEB">
        <w:rPr>
          <w:rFonts w:cs="Times New Roman"/>
          <w:sz w:val="22"/>
          <w:szCs w:val="22"/>
        </w:rPr>
        <w:t xml:space="preserve">ohľadávky, ktoré sú po </w:t>
      </w:r>
      <w:r w:rsidR="002A0154">
        <w:rPr>
          <w:rFonts w:cs="Times New Roman"/>
          <w:sz w:val="22"/>
          <w:szCs w:val="22"/>
        </w:rPr>
        <w:t xml:space="preserve">lehote </w:t>
      </w:r>
      <w:r w:rsidR="002A0154" w:rsidRPr="006C6CEB">
        <w:rPr>
          <w:rFonts w:cs="Times New Roman"/>
          <w:sz w:val="22"/>
          <w:szCs w:val="22"/>
        </w:rPr>
        <w:t xml:space="preserve">splatnosti viac ako 12 mesiacov a ich hodnota je nižšia ako suma nákladov na ich vymáhanie, sa odpíšu. </w:t>
      </w:r>
    </w:p>
    <w:p w:rsidR="00FA0411" w:rsidRDefault="00E90FFD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.</w:t>
      </w:r>
    </w:p>
    <w:p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:rsidR="00313DF1" w:rsidRPr="00C253E0" w:rsidRDefault="00313DF1" w:rsidP="00C253E0">
      <w:pPr>
        <w:numPr>
          <w:ilvl w:val="0"/>
          <w:numId w:val="11"/>
        </w:numPr>
        <w:spacing w:before="0" w:line="240" w:lineRule="auto"/>
        <w:ind w:left="644" w:firstLine="0"/>
        <w:rPr>
          <w:rFonts w:cs="Times New Roman"/>
          <w:sz w:val="22"/>
          <w:szCs w:val="22"/>
        </w:rPr>
      </w:pPr>
    </w:p>
    <w:tbl>
      <w:tblPr>
        <w:tblW w:w="9941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930"/>
        <w:gridCol w:w="869"/>
        <w:gridCol w:w="1275"/>
        <w:gridCol w:w="1199"/>
        <w:gridCol w:w="1028"/>
        <w:gridCol w:w="1249"/>
        <w:gridCol w:w="1189"/>
        <w:gridCol w:w="1202"/>
      </w:tblGrid>
      <w:tr w:rsidR="004F750D" w:rsidRPr="000A03D3" w:rsidTr="004F750D"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Stavby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Dopravné prostriedky</w:t>
            </w: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5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</w:tr>
      <w:tr w:rsidR="004F750D" w:rsidRPr="000A03D3" w:rsidTr="004F750D"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Prvotné ocenenie</w:t>
            </w:r>
            <w:r w:rsidRPr="000A03D3">
              <w:rPr>
                <w:rFonts w:cs="Times New Roman"/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9623,16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E338F8" w:rsidRPr="000A03D3" w:rsidRDefault="00E338F8" w:rsidP="00E338F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1249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3674,40</w:t>
            </w: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0A03D3" w:rsidRDefault="00C253E0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253E0">
              <w:rPr>
                <w:rFonts w:cs="Times New Roman"/>
                <w:sz w:val="22"/>
                <w:szCs w:val="22"/>
              </w:rPr>
              <w:t>13 297,56</w:t>
            </w:r>
          </w:p>
        </w:tc>
      </w:tr>
      <w:tr w:rsidR="004F750D" w:rsidRPr="000A03D3" w:rsidTr="004F750D">
        <w:trPr>
          <w:trHeight w:val="401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3674,40</w:t>
            </w:r>
          </w:p>
        </w:tc>
        <w:tc>
          <w:tcPr>
            <w:tcW w:w="1249" w:type="dxa"/>
            <w:vAlign w:val="center"/>
          </w:tcPr>
          <w:p w:rsidR="004F750D" w:rsidRPr="000A03D3" w:rsidRDefault="00C253E0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2244,00</w:t>
            </w: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0A03D3" w:rsidRDefault="00C253E0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5918,40</w:t>
            </w:r>
          </w:p>
        </w:tc>
      </w:tr>
      <w:tr w:rsidR="004F750D" w:rsidRPr="000A03D3" w:rsidTr="004F750D">
        <w:trPr>
          <w:trHeight w:val="421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3674,40</w:t>
            </w: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0A03D3" w:rsidRDefault="00C253E0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3674,40</w:t>
            </w:r>
          </w:p>
        </w:tc>
      </w:tr>
      <w:tr w:rsidR="004F750D" w:rsidRPr="000A03D3" w:rsidTr="004F750D">
        <w:trPr>
          <w:trHeight w:val="421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Presuny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12366F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4F750D" w:rsidRPr="0012366F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12366F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12366F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F750D" w:rsidRPr="000A03D3" w:rsidTr="004F750D"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851" w:type="dxa"/>
            <w:vAlign w:val="center"/>
          </w:tcPr>
          <w:p w:rsidR="004F750D" w:rsidRPr="000A03D3" w:rsidRDefault="00E338F8" w:rsidP="00E338F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9623,16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E338F8" w:rsidP="00E338F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3674,40</w:t>
            </w: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2244,00</w:t>
            </w: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0A03D3" w:rsidRDefault="00C253E0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C253E0">
              <w:rPr>
                <w:rFonts w:cs="Times New Roman"/>
                <w:sz w:val="22"/>
                <w:szCs w:val="22"/>
              </w:rPr>
              <w:t>15 541,56</w:t>
            </w:r>
          </w:p>
        </w:tc>
      </w:tr>
      <w:tr w:rsidR="004F750D" w:rsidRPr="000A03D3" w:rsidTr="004F750D"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 xml:space="preserve">Oprávky – </w:t>
            </w:r>
            <w:r w:rsidRPr="000A03D3">
              <w:rPr>
                <w:rFonts w:cs="Times New Roman"/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851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4330,44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1249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FF6B34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4330,44</w:t>
            </w:r>
          </w:p>
        </w:tc>
      </w:tr>
      <w:tr w:rsidR="004F750D" w:rsidRPr="000A03D3" w:rsidTr="004F750D">
        <w:trPr>
          <w:trHeight w:val="426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851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481,20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FF6B34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183,84</w:t>
            </w: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FF6B34" w:rsidRDefault="00E338F8" w:rsidP="00E338F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665,04</w:t>
            </w:r>
          </w:p>
        </w:tc>
      </w:tr>
      <w:tr w:rsidR="004F750D" w:rsidRPr="000A03D3" w:rsidTr="004F750D">
        <w:trPr>
          <w:trHeight w:val="439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FF6B34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FF6B34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FF6B34"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F750D" w:rsidRPr="000A03D3" w:rsidTr="004F750D"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851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4811,64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4F750D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FF6B34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183,84</w:t>
            </w:r>
          </w:p>
        </w:tc>
        <w:tc>
          <w:tcPr>
            <w:tcW w:w="1249" w:type="dxa"/>
            <w:vAlign w:val="center"/>
          </w:tcPr>
          <w:p w:rsidR="004F750D" w:rsidRPr="000A03D3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FF6B34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4995,48</w:t>
            </w:r>
          </w:p>
        </w:tc>
      </w:tr>
      <w:tr w:rsidR="004F750D" w:rsidRPr="000A03D3" w:rsidTr="004F750D"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Opravné položky</w:t>
            </w:r>
            <w:r w:rsidRPr="000A03D3">
              <w:rPr>
                <w:rFonts w:cs="Times New Roman"/>
                <w:sz w:val="22"/>
                <w:szCs w:val="22"/>
              </w:rPr>
              <w:t xml:space="preserve"> – stav </w:t>
            </w:r>
            <w:r>
              <w:rPr>
                <w:rFonts w:cs="Times New Roman"/>
                <w:sz w:val="22"/>
                <w:szCs w:val="22"/>
              </w:rPr>
              <w:t xml:space="preserve">na </w:t>
            </w:r>
            <w:r w:rsidRPr="000A03D3">
              <w:rPr>
                <w:rFonts w:cs="Times New Roman"/>
                <w:sz w:val="22"/>
                <w:szCs w:val="22"/>
              </w:rPr>
              <w:t>za</w:t>
            </w:r>
            <w:r>
              <w:rPr>
                <w:rFonts w:cs="Times New Roman"/>
                <w:sz w:val="22"/>
                <w:szCs w:val="22"/>
              </w:rPr>
              <w:t xml:space="preserve">čiatku bežného </w:t>
            </w:r>
            <w:r w:rsidRPr="000A03D3">
              <w:rPr>
                <w:rFonts w:cs="Times New Roman"/>
                <w:sz w:val="22"/>
                <w:szCs w:val="22"/>
              </w:rPr>
              <w:t>účtovné</w:t>
            </w:r>
            <w:r>
              <w:rPr>
                <w:rFonts w:cs="Times New Roman"/>
                <w:sz w:val="22"/>
                <w:szCs w:val="22"/>
              </w:rPr>
              <w:t>ho</w:t>
            </w:r>
            <w:r w:rsidRPr="000A03D3">
              <w:rPr>
                <w:rFonts w:cs="Times New Roman"/>
                <w:sz w:val="22"/>
                <w:szCs w:val="22"/>
              </w:rPr>
              <w:t xml:space="preserve"> obdobi</w:t>
            </w:r>
            <w:r>
              <w:rPr>
                <w:rFonts w:cs="Times New Roman"/>
                <w:sz w:val="22"/>
                <w:szCs w:val="22"/>
              </w:rPr>
              <w:t>a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F750D" w:rsidRPr="000A03D3" w:rsidTr="004F750D">
        <w:trPr>
          <w:trHeight w:val="309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prírastky  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F750D" w:rsidRPr="000A03D3" w:rsidTr="004F750D">
        <w:trPr>
          <w:trHeight w:val="337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úbytky 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</w:tr>
      <w:tr w:rsidR="004F750D" w:rsidRPr="000A03D3" w:rsidTr="004F750D">
        <w:trPr>
          <w:trHeight w:val="337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F750D" w:rsidRPr="000A03D3" w:rsidTr="004F750D">
        <w:trPr>
          <w:trHeight w:val="361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začiatku bežného</w:t>
            </w:r>
            <w:r w:rsidRPr="000A03D3">
              <w:rPr>
                <w:rFonts w:cs="Times New Roman"/>
                <w:sz w:val="22"/>
                <w:szCs w:val="22"/>
              </w:rPr>
              <w:t xml:space="preserve"> účtovného obdobia</w:t>
            </w:r>
          </w:p>
        </w:tc>
        <w:tc>
          <w:tcPr>
            <w:tcW w:w="851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2D020C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  <w:highlight w:val="yellow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4F750D" w:rsidRPr="000A03D3" w:rsidTr="004F750D">
        <w:trPr>
          <w:trHeight w:val="361"/>
        </w:trPr>
        <w:tc>
          <w:tcPr>
            <w:tcW w:w="1944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 xml:space="preserve">Stav </w:t>
            </w:r>
            <w:r>
              <w:rPr>
                <w:rFonts w:cs="Times New Roman"/>
                <w:sz w:val="22"/>
                <w:szCs w:val="22"/>
              </w:rPr>
              <w:t>na konci</w:t>
            </w:r>
            <w:r w:rsidRPr="000A03D3">
              <w:rPr>
                <w:rFonts w:cs="Times New Roman"/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851" w:type="dxa"/>
            <w:vAlign w:val="center"/>
          </w:tcPr>
          <w:p w:rsidR="004F750D" w:rsidRPr="000A03D3" w:rsidRDefault="00E338F8" w:rsidP="00E338F8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76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19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028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124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189" w:type="dxa"/>
            <w:vAlign w:val="center"/>
          </w:tcPr>
          <w:p w:rsidR="004F750D" w:rsidRPr="000A03D3" w:rsidRDefault="004F750D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</w:p>
        </w:tc>
        <w:tc>
          <w:tcPr>
            <w:tcW w:w="1205" w:type="dxa"/>
            <w:vAlign w:val="center"/>
          </w:tcPr>
          <w:p w:rsidR="004F750D" w:rsidRPr="00E338F8" w:rsidRDefault="00E338F8" w:rsidP="00867E79">
            <w:pPr>
              <w:spacing w:before="0" w:after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 w:rsidRPr="00E338F8">
              <w:rPr>
                <w:rFonts w:cs="Times New Roman"/>
                <w:sz w:val="22"/>
                <w:szCs w:val="22"/>
              </w:rPr>
              <w:t>0</w:t>
            </w:r>
          </w:p>
        </w:tc>
      </w:tr>
    </w:tbl>
    <w:p w:rsidR="00313DF1" w:rsidRDefault="00313DF1" w:rsidP="00313DF1">
      <w:pPr>
        <w:spacing w:before="0" w:line="240" w:lineRule="auto"/>
        <w:rPr>
          <w:sz w:val="22"/>
          <w:szCs w:val="22"/>
        </w:rPr>
      </w:pPr>
    </w:p>
    <w:p w:rsidR="00C253E0" w:rsidRDefault="00C253E0" w:rsidP="00313DF1">
      <w:pPr>
        <w:spacing w:before="0" w:line="240" w:lineRule="auto"/>
        <w:rPr>
          <w:sz w:val="22"/>
          <w:szCs w:val="22"/>
        </w:rPr>
      </w:pPr>
    </w:p>
    <w:p w:rsidR="00C253E0" w:rsidRDefault="00C253E0" w:rsidP="00313DF1">
      <w:pPr>
        <w:spacing w:before="0" w:line="240" w:lineRule="auto"/>
        <w:rPr>
          <w:sz w:val="22"/>
          <w:szCs w:val="22"/>
        </w:rPr>
      </w:pPr>
    </w:p>
    <w:p w:rsidR="00C253E0" w:rsidRPr="00313DF1" w:rsidRDefault="00C253E0" w:rsidP="00313DF1">
      <w:pPr>
        <w:spacing w:before="0" w:line="240" w:lineRule="auto"/>
        <w:rPr>
          <w:sz w:val="22"/>
          <w:szCs w:val="22"/>
        </w:rPr>
      </w:pPr>
    </w:p>
    <w:p w:rsidR="00D41692" w:rsidRDefault="00D41692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</w:p>
    <w:tbl>
      <w:tblPr>
        <w:tblStyle w:val="Mkatabulky"/>
        <w:tblW w:w="0" w:type="auto"/>
        <w:tblInd w:w="38" w:type="dxa"/>
        <w:tblLook w:val="04A0"/>
      </w:tblPr>
      <w:tblGrid>
        <w:gridCol w:w="3558"/>
        <w:gridCol w:w="3384"/>
        <w:gridCol w:w="3298"/>
      </w:tblGrid>
      <w:tr w:rsidR="00D41692" w:rsidRPr="000A03D3" w:rsidTr="00867E79">
        <w:tc>
          <w:tcPr>
            <w:tcW w:w="4606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4395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bežného účtovného obdobia</w:t>
            </w:r>
          </w:p>
        </w:tc>
        <w:tc>
          <w:tcPr>
            <w:tcW w:w="3969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Stav na konci bezprostredne predchádzajúceho účtovného obdobia</w:t>
            </w:r>
          </w:p>
        </w:tc>
      </w:tr>
      <w:tr w:rsidR="00D41692" w:rsidRPr="000A03D3" w:rsidTr="00867E79">
        <w:tc>
          <w:tcPr>
            <w:tcW w:w="4606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Pokladnica</w:t>
            </w:r>
          </w:p>
        </w:tc>
        <w:tc>
          <w:tcPr>
            <w:tcW w:w="4395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3969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0,00</w:t>
            </w:r>
          </w:p>
        </w:tc>
      </w:tr>
      <w:tr w:rsidR="00D41692" w:rsidRPr="000A03D3" w:rsidTr="00867E79">
        <w:tc>
          <w:tcPr>
            <w:tcW w:w="4606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Ceniny</w:t>
            </w:r>
          </w:p>
        </w:tc>
        <w:tc>
          <w:tcPr>
            <w:tcW w:w="4395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0,00</w:t>
            </w:r>
          </w:p>
        </w:tc>
        <w:tc>
          <w:tcPr>
            <w:tcW w:w="3969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0,00</w:t>
            </w:r>
          </w:p>
        </w:tc>
      </w:tr>
      <w:tr w:rsidR="00D41692" w:rsidRPr="000A03D3" w:rsidTr="00867E79">
        <w:tc>
          <w:tcPr>
            <w:tcW w:w="4606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Bežné bankové účty</w:t>
            </w:r>
          </w:p>
        </w:tc>
        <w:tc>
          <w:tcPr>
            <w:tcW w:w="4395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4865,42</w:t>
            </w:r>
          </w:p>
        </w:tc>
        <w:tc>
          <w:tcPr>
            <w:tcW w:w="3969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3802,52</w:t>
            </w:r>
          </w:p>
        </w:tc>
      </w:tr>
      <w:tr w:rsidR="00D41692" w:rsidRPr="000A03D3" w:rsidTr="00867E79">
        <w:tc>
          <w:tcPr>
            <w:tcW w:w="4606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Bankové účty s dobou viazanosti dlhšou ako jeden rok</w:t>
            </w:r>
          </w:p>
        </w:tc>
        <w:tc>
          <w:tcPr>
            <w:tcW w:w="4395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41692" w:rsidRPr="000A03D3" w:rsidTr="00867E79">
        <w:tc>
          <w:tcPr>
            <w:tcW w:w="4606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left"/>
              <w:rPr>
                <w:rFonts w:cs="Times New Roman"/>
                <w:sz w:val="22"/>
                <w:szCs w:val="22"/>
              </w:rPr>
            </w:pPr>
            <w:r w:rsidRPr="000A03D3">
              <w:rPr>
                <w:rFonts w:cs="Times New Roman"/>
                <w:sz w:val="22"/>
                <w:szCs w:val="22"/>
              </w:rPr>
              <w:t>Peniaze na ceste</w:t>
            </w:r>
          </w:p>
        </w:tc>
        <w:tc>
          <w:tcPr>
            <w:tcW w:w="4395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  <w:tc>
          <w:tcPr>
            <w:tcW w:w="3969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sz w:val="22"/>
                <w:szCs w:val="22"/>
              </w:rPr>
            </w:pPr>
            <w:r>
              <w:rPr>
                <w:rFonts w:cs="Times New Roman"/>
                <w:sz w:val="22"/>
                <w:szCs w:val="22"/>
              </w:rPr>
              <w:t>0</w:t>
            </w:r>
          </w:p>
        </w:tc>
      </w:tr>
      <w:tr w:rsidR="00D41692" w:rsidRPr="000A03D3" w:rsidTr="00867E79">
        <w:tc>
          <w:tcPr>
            <w:tcW w:w="4606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left"/>
              <w:rPr>
                <w:rFonts w:cs="Times New Roman"/>
                <w:b/>
                <w:sz w:val="22"/>
                <w:szCs w:val="22"/>
              </w:rPr>
            </w:pPr>
            <w:r w:rsidRPr="000A03D3">
              <w:rPr>
                <w:rFonts w:cs="Times New Roman"/>
                <w:b/>
                <w:sz w:val="22"/>
                <w:szCs w:val="22"/>
              </w:rPr>
              <w:t>Spolu</w:t>
            </w:r>
          </w:p>
        </w:tc>
        <w:tc>
          <w:tcPr>
            <w:tcW w:w="4395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4865,42</w:t>
            </w:r>
          </w:p>
        </w:tc>
        <w:tc>
          <w:tcPr>
            <w:tcW w:w="3969" w:type="dxa"/>
            <w:vAlign w:val="center"/>
          </w:tcPr>
          <w:p w:rsidR="00D41692" w:rsidRPr="000A03D3" w:rsidRDefault="00D41692" w:rsidP="00867E79">
            <w:pPr>
              <w:spacing w:before="0" w:line="240" w:lineRule="auto"/>
              <w:jc w:val="center"/>
              <w:rPr>
                <w:rFonts w:cs="Times New Roman"/>
                <w:b/>
                <w:sz w:val="22"/>
                <w:szCs w:val="22"/>
              </w:rPr>
            </w:pPr>
            <w:r>
              <w:rPr>
                <w:rFonts w:cs="Times New Roman"/>
                <w:b/>
                <w:sz w:val="22"/>
                <w:szCs w:val="22"/>
              </w:rPr>
              <w:t>3802,52</w:t>
            </w:r>
          </w:p>
        </w:tc>
      </w:tr>
    </w:tbl>
    <w:p w:rsidR="00D41692" w:rsidRDefault="00D41692" w:rsidP="00D41692">
      <w:pPr>
        <w:keepNext/>
        <w:spacing w:line="240" w:lineRule="auto"/>
        <w:rPr>
          <w:sz w:val="22"/>
          <w:szCs w:val="22"/>
        </w:rPr>
      </w:pPr>
    </w:p>
    <w:p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689"/>
        <w:gridCol w:w="3588"/>
        <w:gridCol w:w="3499"/>
      </w:tblGrid>
      <w:tr w:rsidR="004F5F27" w:rsidRPr="00D90FC4" w:rsidTr="004F5F27">
        <w:tc>
          <w:tcPr>
            <w:tcW w:w="2689" w:type="dxa"/>
          </w:tcPr>
          <w:p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:rsidR="004F5F27" w:rsidRPr="00D90FC4" w:rsidRDefault="00D41692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3499" w:type="dxa"/>
            <w:vAlign w:val="center"/>
          </w:tcPr>
          <w:p w:rsidR="004F5F27" w:rsidRPr="00D90FC4" w:rsidRDefault="00D41692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:rsidR="004F5F27" w:rsidRPr="00D90FC4" w:rsidRDefault="00D41692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216,60</w:t>
            </w:r>
          </w:p>
        </w:tc>
        <w:tc>
          <w:tcPr>
            <w:tcW w:w="3499" w:type="dxa"/>
            <w:vAlign w:val="center"/>
          </w:tcPr>
          <w:p w:rsidR="004F5F27" w:rsidRPr="00D90FC4" w:rsidRDefault="00D41692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452,60</w:t>
            </w:r>
          </w:p>
        </w:tc>
      </w:tr>
      <w:tr w:rsidR="004F5F27" w:rsidRPr="00D90FC4" w:rsidTr="004F5F27">
        <w:tc>
          <w:tcPr>
            <w:tcW w:w="2689" w:type="dxa"/>
            <w:vAlign w:val="center"/>
          </w:tcPr>
          <w:p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:rsidR="004F5F27" w:rsidRPr="00D90FC4" w:rsidRDefault="00D41692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216,60</w:t>
            </w:r>
          </w:p>
        </w:tc>
        <w:tc>
          <w:tcPr>
            <w:tcW w:w="3499" w:type="dxa"/>
            <w:vAlign w:val="center"/>
          </w:tcPr>
          <w:p w:rsidR="004F5F27" w:rsidRPr="00D90FC4" w:rsidRDefault="00D41692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452,60</w:t>
            </w:r>
          </w:p>
        </w:tc>
      </w:tr>
    </w:tbl>
    <w:p w:rsidR="00FB1DB9" w:rsidRPr="00D63498" w:rsidRDefault="00FB1DB9" w:rsidP="00D41692">
      <w:pPr>
        <w:spacing w:line="240" w:lineRule="auto"/>
        <w:rPr>
          <w:sz w:val="22"/>
          <w:szCs w:val="22"/>
        </w:rPr>
      </w:pPr>
    </w:p>
    <w:p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5819,15</w:t>
            </w:r>
          </w:p>
        </w:tc>
        <w:tc>
          <w:tcPr>
            <w:tcW w:w="1431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273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96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86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5819,15</w:t>
            </w:r>
          </w:p>
        </w:tc>
      </w:tr>
      <w:tr w:rsidR="00FE33C2" w:rsidRPr="00D90FC4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lastRenderedPageBreak/>
              <w:t>Výsledok hospodárenia</w:t>
            </w: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:rsidTr="00FE33C2">
        <w:tc>
          <w:tcPr>
            <w:tcW w:w="2002" w:type="dxa"/>
            <w:vAlign w:val="center"/>
          </w:tcPr>
          <w:p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31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1806,74</w:t>
            </w:r>
          </w:p>
        </w:tc>
        <w:tc>
          <w:tcPr>
            <w:tcW w:w="1273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396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886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1806,74</w:t>
            </w:r>
          </w:p>
        </w:tc>
      </w:tr>
      <w:tr w:rsidR="00B24CCD" w:rsidRPr="00D90FC4" w:rsidTr="00FE33C2">
        <w:trPr>
          <w:trHeight w:val="391"/>
        </w:trPr>
        <w:tc>
          <w:tcPr>
            <w:tcW w:w="2002" w:type="dxa"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5819,15</w:t>
            </w:r>
          </w:p>
        </w:tc>
        <w:tc>
          <w:tcPr>
            <w:tcW w:w="1431" w:type="dxa"/>
          </w:tcPr>
          <w:p w:rsidR="00B24CCD" w:rsidRPr="00D90FC4" w:rsidRDefault="00F659AD" w:rsidP="00F659A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1806,74</w:t>
            </w:r>
          </w:p>
        </w:tc>
        <w:tc>
          <w:tcPr>
            <w:tcW w:w="1273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396" w:type="dxa"/>
          </w:tcPr>
          <w:p w:rsidR="00B24CCD" w:rsidRPr="00D90FC4" w:rsidRDefault="00D41692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886" w:type="dxa"/>
          </w:tcPr>
          <w:p w:rsidR="00B24CCD" w:rsidRPr="00D90FC4" w:rsidRDefault="00F659A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7625,89</w:t>
            </w:r>
          </w:p>
        </w:tc>
      </w:tr>
    </w:tbl>
    <w:p w:rsidR="00DB1285" w:rsidRDefault="003A64F4" w:rsidP="00F659AD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44"/>
        <w:gridCol w:w="5245"/>
      </w:tblGrid>
      <w:tr w:rsidR="00B24CCD" w:rsidRPr="00D90FC4" w:rsidTr="009D320B">
        <w:trPr>
          <w:trHeight w:val="765"/>
        </w:trPr>
        <w:tc>
          <w:tcPr>
            <w:tcW w:w="4644" w:type="dxa"/>
            <w:noWrap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F659A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1806,74</w:t>
            </w: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F659A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1806,74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Prevod do n</w:t>
            </w:r>
            <w:r w:rsidRPr="00D90FC4"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:rsidTr="009D320B">
        <w:trPr>
          <w:trHeight w:val="330"/>
        </w:trPr>
        <w:tc>
          <w:tcPr>
            <w:tcW w:w="4644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:rsidR="00F659AD" w:rsidRDefault="00F659AD" w:rsidP="00F659AD">
      <w:pPr>
        <w:spacing w:line="240" w:lineRule="auto"/>
        <w:rPr>
          <w:sz w:val="22"/>
          <w:szCs w:val="22"/>
        </w:rPr>
      </w:pPr>
    </w:p>
    <w:p w:rsidR="00F659AD" w:rsidRDefault="00F659AD" w:rsidP="00F659AD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Nezisková organizácia netvorila žiadne rezervy z dôvodu ich  nevýznamnej hodnoty.</w:t>
      </w:r>
      <w:r w:rsidRPr="00F659AD">
        <w:rPr>
          <w:sz w:val="22"/>
          <w:szCs w:val="22"/>
        </w:rPr>
        <w:t xml:space="preserve"> </w:t>
      </w:r>
    </w:p>
    <w:p w:rsidR="00C253E0" w:rsidRDefault="00C253E0" w:rsidP="00C253E0">
      <w:pPr>
        <w:spacing w:line="240" w:lineRule="auto"/>
        <w:rPr>
          <w:sz w:val="22"/>
          <w:szCs w:val="22"/>
        </w:rPr>
      </w:pPr>
    </w:p>
    <w:p w:rsidR="00C253E0" w:rsidRDefault="00C253E0" w:rsidP="00C253E0">
      <w:pPr>
        <w:spacing w:line="240" w:lineRule="auto"/>
        <w:rPr>
          <w:sz w:val="22"/>
          <w:szCs w:val="22"/>
        </w:rPr>
      </w:pPr>
    </w:p>
    <w:p w:rsidR="00C253E0" w:rsidRDefault="00C253E0" w:rsidP="00C253E0">
      <w:pPr>
        <w:spacing w:line="240" w:lineRule="auto"/>
        <w:rPr>
          <w:sz w:val="22"/>
          <w:szCs w:val="22"/>
        </w:rPr>
      </w:pPr>
    </w:p>
    <w:p w:rsidR="00D623B7" w:rsidRPr="00D330FA" w:rsidRDefault="00F659AD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D623B7">
        <w:rPr>
          <w:sz w:val="22"/>
          <w:szCs w:val="22"/>
        </w:rPr>
        <w:t>Prehľad záväzkov do</w:t>
      </w:r>
      <w:r w:rsidR="001A3508">
        <w:rPr>
          <w:sz w:val="22"/>
          <w:szCs w:val="22"/>
        </w:rPr>
        <w:t xml:space="preserve"> uplynutia</w:t>
      </w:r>
      <w:r w:rsidR="00D623B7"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 w:rsidR="00D623B7"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 w:rsidR="00D623B7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 w:rsidR="00D623B7"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 w:rsidR="00D623B7"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10701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606"/>
        <w:gridCol w:w="2977"/>
        <w:gridCol w:w="3118"/>
      </w:tblGrid>
      <w:tr w:rsidR="00F659AD" w:rsidRPr="00D90FC4" w:rsidTr="00867E79">
        <w:trPr>
          <w:trHeight w:val="397"/>
        </w:trPr>
        <w:tc>
          <w:tcPr>
            <w:tcW w:w="4606" w:type="dxa"/>
            <w:vMerge w:val="restart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095" w:type="dxa"/>
            <w:gridSpan w:val="2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 w:rsidR="00F659AD" w:rsidRPr="00D90FC4" w:rsidTr="00867E79">
        <w:tc>
          <w:tcPr>
            <w:tcW w:w="4606" w:type="dxa"/>
            <w:vMerge/>
          </w:tcPr>
          <w:p w:rsidR="00F659AD" w:rsidRPr="00D90FC4" w:rsidRDefault="00F659AD" w:rsidP="00867E79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118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F659AD" w:rsidRPr="00D90FC4" w:rsidTr="00867E79">
        <w:trPr>
          <w:trHeight w:val="391"/>
        </w:trPr>
        <w:tc>
          <w:tcPr>
            <w:tcW w:w="4606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2977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0,10</w:t>
            </w:r>
          </w:p>
        </w:tc>
        <w:tc>
          <w:tcPr>
            <w:tcW w:w="3118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0,10</w:t>
            </w:r>
          </w:p>
        </w:tc>
      </w:tr>
      <w:tr w:rsidR="00F659AD" w:rsidRPr="00D90FC4" w:rsidTr="00867E79">
        <w:trPr>
          <w:trHeight w:val="391"/>
        </w:trPr>
        <w:tc>
          <w:tcPr>
            <w:tcW w:w="4606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2977" w:type="dxa"/>
            <w:vAlign w:val="center"/>
          </w:tcPr>
          <w:p w:rsidR="00F659AD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250,00</w:t>
            </w:r>
          </w:p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  <w:tc>
          <w:tcPr>
            <w:tcW w:w="3118" w:type="dxa"/>
            <w:vAlign w:val="center"/>
          </w:tcPr>
          <w:p w:rsidR="00F659AD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250,00</w:t>
            </w:r>
          </w:p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  <w:lang w:eastAsia="sk-SK"/>
              </w:rPr>
            </w:pPr>
          </w:p>
        </w:tc>
      </w:tr>
      <w:tr w:rsidR="00F659AD" w:rsidRPr="0041401E" w:rsidTr="00867E79">
        <w:trPr>
          <w:trHeight w:val="447"/>
        </w:trPr>
        <w:tc>
          <w:tcPr>
            <w:tcW w:w="4606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2977" w:type="dxa"/>
            <w:vAlign w:val="center"/>
          </w:tcPr>
          <w:p w:rsidR="00F659AD" w:rsidRPr="0041401E" w:rsidRDefault="00F659AD" w:rsidP="00867E7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250,10</w:t>
            </w:r>
          </w:p>
        </w:tc>
        <w:tc>
          <w:tcPr>
            <w:tcW w:w="3118" w:type="dxa"/>
            <w:vAlign w:val="center"/>
          </w:tcPr>
          <w:p w:rsidR="00F659AD" w:rsidRPr="0041401E" w:rsidRDefault="00F659AD" w:rsidP="00867E7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250,10</w:t>
            </w:r>
          </w:p>
        </w:tc>
      </w:tr>
      <w:tr w:rsidR="00F659AD" w:rsidRPr="00D90FC4" w:rsidTr="00867E79">
        <w:tc>
          <w:tcPr>
            <w:tcW w:w="4606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2977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659AD" w:rsidRPr="00D90FC4" w:rsidTr="00867E79">
        <w:trPr>
          <w:trHeight w:val="478"/>
        </w:trPr>
        <w:tc>
          <w:tcPr>
            <w:tcW w:w="4606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2977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659AD" w:rsidRPr="0087583A" w:rsidTr="00867E79">
        <w:trPr>
          <w:trHeight w:val="409"/>
        </w:trPr>
        <w:tc>
          <w:tcPr>
            <w:tcW w:w="4606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2977" w:type="dxa"/>
            <w:vAlign w:val="center"/>
          </w:tcPr>
          <w:p w:rsidR="00F659AD" w:rsidRPr="0087583A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118" w:type="dxa"/>
            <w:vAlign w:val="center"/>
          </w:tcPr>
          <w:p w:rsidR="00F659AD" w:rsidRPr="0087583A" w:rsidRDefault="00F659AD" w:rsidP="00867E79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87583A">
              <w:rPr>
                <w:sz w:val="22"/>
                <w:szCs w:val="22"/>
              </w:rPr>
              <w:t>0</w:t>
            </w:r>
          </w:p>
        </w:tc>
      </w:tr>
      <w:tr w:rsidR="00F659AD" w:rsidRPr="00D90FC4" w:rsidTr="00867E79">
        <w:trPr>
          <w:trHeight w:val="409"/>
        </w:trPr>
        <w:tc>
          <w:tcPr>
            <w:tcW w:w="4606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2977" w:type="dxa"/>
            <w:vAlign w:val="center"/>
          </w:tcPr>
          <w:p w:rsidR="00F659AD" w:rsidRPr="00D90FC4" w:rsidRDefault="00F659AD" w:rsidP="00867E7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250,10</w:t>
            </w:r>
          </w:p>
        </w:tc>
        <w:tc>
          <w:tcPr>
            <w:tcW w:w="3118" w:type="dxa"/>
            <w:vAlign w:val="center"/>
          </w:tcPr>
          <w:p w:rsidR="00F659AD" w:rsidRPr="00D90FC4" w:rsidRDefault="00F659AD" w:rsidP="00F659A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250,10</w:t>
            </w:r>
          </w:p>
        </w:tc>
      </w:tr>
    </w:tbl>
    <w:p w:rsidR="00935EE7" w:rsidRPr="00D90FC4" w:rsidRDefault="00935EE7" w:rsidP="00F659AD">
      <w:pPr>
        <w:spacing w:before="240" w:line="240" w:lineRule="auto"/>
        <w:rPr>
          <w:sz w:val="22"/>
          <w:szCs w:val="22"/>
        </w:rPr>
      </w:pPr>
    </w:p>
    <w:p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="00F659AD">
        <w:rPr>
          <w:sz w:val="22"/>
          <w:szCs w:val="22"/>
        </w:rPr>
        <w:t xml:space="preserve">o významných položkách </w:t>
      </w:r>
      <w:r w:rsidRPr="00D330FA">
        <w:rPr>
          <w:sz w:val="22"/>
          <w:szCs w:val="22"/>
        </w:rPr>
        <w:t>výnosov budúcich období</w:t>
      </w:r>
      <w:r w:rsidR="00AC42C6">
        <w:rPr>
          <w:sz w:val="22"/>
          <w:szCs w:val="22"/>
        </w:rPr>
        <w:t>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431"/>
        <w:gridCol w:w="2977"/>
        <w:gridCol w:w="3118"/>
      </w:tblGrid>
      <w:tr w:rsidR="00D63498" w:rsidRPr="00D90FC4" w:rsidTr="00D63498">
        <w:tc>
          <w:tcPr>
            <w:tcW w:w="3431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:rsidTr="006328EB">
        <w:tc>
          <w:tcPr>
            <w:tcW w:w="3431" w:type="dxa"/>
          </w:tcPr>
          <w:p w:rsidR="00D63498" w:rsidRPr="00D90FC4" w:rsidRDefault="00D63498" w:rsidP="00F659A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F659AD">
              <w:rPr>
                <w:sz w:val="22"/>
                <w:szCs w:val="22"/>
              </w:rPr>
              <w:t> dotácie</w:t>
            </w:r>
          </w:p>
        </w:tc>
        <w:tc>
          <w:tcPr>
            <w:tcW w:w="2977" w:type="dxa"/>
            <w:vAlign w:val="center"/>
          </w:tcPr>
          <w:p w:rsidR="00D63498" w:rsidRPr="00D90FC4" w:rsidRDefault="00A54F15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6912,99</w:t>
            </w:r>
          </w:p>
        </w:tc>
        <w:tc>
          <w:tcPr>
            <w:tcW w:w="3118" w:type="dxa"/>
            <w:vAlign w:val="center"/>
          </w:tcPr>
          <w:p w:rsidR="00D63498" w:rsidRPr="00D90FC4" w:rsidRDefault="00A54F15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7988,11</w:t>
            </w:r>
          </w:p>
        </w:tc>
      </w:tr>
      <w:tr w:rsidR="00F438F3" w:rsidRPr="00A54F15" w:rsidTr="006328EB">
        <w:tc>
          <w:tcPr>
            <w:tcW w:w="3431" w:type="dxa"/>
          </w:tcPr>
          <w:p w:rsidR="00F438F3" w:rsidRPr="00A54F15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A54F15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:rsidR="00F438F3" w:rsidRPr="00A54F15" w:rsidRDefault="00A54F15" w:rsidP="006328E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54F15">
              <w:rPr>
                <w:b/>
                <w:sz w:val="22"/>
                <w:szCs w:val="22"/>
              </w:rPr>
              <w:t>6912,99</w:t>
            </w:r>
          </w:p>
        </w:tc>
        <w:tc>
          <w:tcPr>
            <w:tcW w:w="3118" w:type="dxa"/>
            <w:vAlign w:val="center"/>
          </w:tcPr>
          <w:p w:rsidR="00F438F3" w:rsidRPr="00A54F15" w:rsidRDefault="00A54F15" w:rsidP="006328EB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A54F15">
              <w:rPr>
                <w:b/>
                <w:sz w:val="22"/>
                <w:szCs w:val="22"/>
              </w:rPr>
              <w:t>7988,11</w:t>
            </w:r>
          </w:p>
        </w:tc>
      </w:tr>
    </w:tbl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A54F15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A54F15" w:rsidRDefault="00A54F15" w:rsidP="00A54F15">
      <w:pPr>
        <w:keepNext/>
        <w:spacing w:before="0" w:line="240" w:lineRule="auto"/>
        <w:outlineLvl w:val="1"/>
        <w:rPr>
          <w:b/>
          <w:bCs/>
          <w:sz w:val="22"/>
          <w:szCs w:val="22"/>
        </w:rPr>
      </w:pPr>
    </w:p>
    <w:p w:rsidR="00A54F15" w:rsidRDefault="00A54F15" w:rsidP="00A54F15">
      <w:pPr>
        <w:keepNext/>
        <w:spacing w:before="0" w:line="240" w:lineRule="auto"/>
        <w:outlineLvl w:val="1"/>
        <w:rPr>
          <w:bCs/>
          <w:sz w:val="22"/>
          <w:szCs w:val="22"/>
        </w:rPr>
      </w:pPr>
      <w:r>
        <w:rPr>
          <w:bCs/>
          <w:sz w:val="22"/>
          <w:szCs w:val="22"/>
        </w:rPr>
        <w:t>Združenie obcí Termál nemá povinnosť overenia účtovnej závierky audítorom.</w:t>
      </w:r>
    </w:p>
    <w:p w:rsidR="00A54F15" w:rsidRPr="00A54F15" w:rsidRDefault="00A54F15" w:rsidP="00A54F15">
      <w:pPr>
        <w:keepNext/>
        <w:spacing w:before="0" w:line="240" w:lineRule="auto"/>
        <w:outlineLvl w:val="1"/>
        <w:rPr>
          <w:bCs/>
          <w:sz w:val="22"/>
          <w:szCs w:val="22"/>
        </w:rPr>
      </w:pPr>
    </w:p>
    <w:p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:rsidR="00A54F15" w:rsidRDefault="00A54F15" w:rsidP="00A54F15">
      <w:pPr>
        <w:spacing w:before="0" w:line="240" w:lineRule="auto"/>
        <w:rPr>
          <w:rFonts w:cs="Times New Roman"/>
          <w:sz w:val="22"/>
          <w:szCs w:val="22"/>
        </w:rPr>
      </w:pPr>
      <w:r>
        <w:rPr>
          <w:rFonts w:cs="Times New Roman"/>
          <w:sz w:val="22"/>
          <w:szCs w:val="22"/>
        </w:rPr>
        <w:t xml:space="preserve">Občianske združenie </w:t>
      </w:r>
      <w:r w:rsidRPr="00202643">
        <w:rPr>
          <w:rFonts w:cs="Times New Roman"/>
          <w:sz w:val="22"/>
          <w:szCs w:val="22"/>
        </w:rPr>
        <w:t xml:space="preserve"> organizácia nemá žiaden prenajatý majeto</w:t>
      </w:r>
      <w:r>
        <w:rPr>
          <w:rFonts w:cs="Times New Roman"/>
          <w:sz w:val="22"/>
          <w:szCs w:val="22"/>
        </w:rPr>
        <w:t xml:space="preserve">k, majetok prijatý </w:t>
      </w:r>
      <w:r w:rsidRPr="00202643">
        <w:rPr>
          <w:rFonts w:cs="Times New Roman"/>
          <w:sz w:val="22"/>
          <w:szCs w:val="22"/>
        </w:rPr>
        <w:t>do úschovy</w:t>
      </w:r>
      <w:r>
        <w:rPr>
          <w:rFonts w:cs="Times New Roman"/>
          <w:sz w:val="22"/>
          <w:szCs w:val="22"/>
        </w:rPr>
        <w:t xml:space="preserve"> ani  odpísané pohľadávky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</w:p>
    <w:p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:rsidR="00A54F15" w:rsidRPr="0018346C" w:rsidRDefault="00DB1285" w:rsidP="00A54F15">
      <w:pPr>
        <w:spacing w:before="0" w:line="240" w:lineRule="auto"/>
        <w:rPr>
          <w:rFonts w:cs="Times New Roman"/>
          <w:sz w:val="22"/>
          <w:szCs w:val="22"/>
        </w:rPr>
      </w:pPr>
      <w:r w:rsidRPr="00D90FC4">
        <w:t xml:space="preserve"> </w:t>
      </w:r>
      <w:r w:rsidR="00A54F15">
        <w:rPr>
          <w:rFonts w:cs="Times New Roman"/>
          <w:bCs/>
          <w:sz w:val="22"/>
          <w:szCs w:val="22"/>
        </w:rPr>
        <w:t>Nezisková organizácia nezaznamenala ďalšie skutočnosti, ktoré sú obsahom tohto článku.</w:t>
      </w:r>
    </w:p>
    <w:p w:rsidR="00A54F15" w:rsidRDefault="00A54F15" w:rsidP="00A54F15">
      <w:pPr>
        <w:pStyle w:val="Textopatrenia"/>
        <w:numPr>
          <w:ilvl w:val="0"/>
          <w:numId w:val="0"/>
        </w:numPr>
      </w:pPr>
    </w:p>
    <w:p w:rsidR="00F722A3" w:rsidRDefault="00F722A3" w:rsidP="00CD361E">
      <w:pPr>
        <w:spacing w:before="0" w:line="240" w:lineRule="auto"/>
        <w:rPr>
          <w:sz w:val="22"/>
          <w:szCs w:val="22"/>
        </w:rPr>
      </w:pPr>
    </w:p>
    <w:sectPr w:rsidR="00F722A3" w:rsidSect="00576E96">
      <w:footerReference w:type="default" r:id="rId8"/>
      <w:headerReference w:type="first" r:id="rId9"/>
      <w:footerReference w:type="first" r:id="rId10"/>
      <w:pgSz w:w="11906" w:h="16838"/>
      <w:pgMar w:top="851" w:right="993" w:bottom="851" w:left="851" w:header="709" w:footer="709" w:gutter="0"/>
      <w:pgNumType w:start="1"/>
      <w:cols w:space="708"/>
      <w:titlePg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2686" w:rsidRDefault="000B2686" w:rsidP="00347C39">
      <w:pPr>
        <w:spacing w:before="0" w:after="0" w:line="240" w:lineRule="auto"/>
      </w:pPr>
      <w:r>
        <w:separator/>
      </w:r>
    </w:p>
  </w:endnote>
  <w:endnote w:type="continuationSeparator" w:id="1">
    <w:p w:rsidR="000B2686" w:rsidRDefault="000B2686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6E96" w:rsidRDefault="00576E96">
    <w:pPr>
      <w:pStyle w:val="Zpat"/>
      <w:jc w:val="right"/>
    </w:pPr>
    <w:fldSimple w:instr=" PAGE   \* MERGEFORMAT ">
      <w:r w:rsidR="00691650">
        <w:rPr>
          <w:noProof/>
        </w:rPr>
        <w:t>5</w:t>
      </w:r>
    </w:fldSimple>
  </w:p>
  <w:p w:rsidR="00576E96" w:rsidRDefault="00576E96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576E96">
    <w:pPr>
      <w:pStyle w:val="Zpat"/>
      <w:jc w:val="right"/>
    </w:pPr>
    <w:r>
      <w:t>1</w:t>
    </w:r>
  </w:p>
  <w:p w:rsidR="00840EC7" w:rsidRDefault="00840EC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2686" w:rsidRDefault="000B2686" w:rsidP="00347C39">
      <w:pPr>
        <w:spacing w:before="0" w:after="0" w:line="240" w:lineRule="auto"/>
      </w:pPr>
      <w:r>
        <w:separator/>
      </w:r>
    </w:p>
  </w:footnote>
  <w:footnote w:type="continuationSeparator" w:id="1">
    <w:p w:rsidR="000B2686" w:rsidRDefault="000B2686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40EC7" w:rsidRDefault="00840EC7">
    <w:pPr>
      <w:pStyle w:val="Zhlav"/>
      <w:jc w:val="right"/>
    </w:pPr>
  </w:p>
  <w:p w:rsidR="00840EC7" w:rsidRDefault="00840EC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4613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41D2A68"/>
    <w:multiLevelType w:val="hybridMultilevel"/>
    <w:tmpl w:val="C69CE7CE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84256DF"/>
    <w:multiLevelType w:val="hybridMultilevel"/>
    <w:tmpl w:val="49361EA0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05B0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2686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366F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346C"/>
    <w:rsid w:val="00197E00"/>
    <w:rsid w:val="001A0486"/>
    <w:rsid w:val="001A0EE6"/>
    <w:rsid w:val="001A3508"/>
    <w:rsid w:val="001B2ABE"/>
    <w:rsid w:val="001B426C"/>
    <w:rsid w:val="001B4A6D"/>
    <w:rsid w:val="001B7E81"/>
    <w:rsid w:val="001C2A06"/>
    <w:rsid w:val="001C4CBF"/>
    <w:rsid w:val="001D08F4"/>
    <w:rsid w:val="001D2C0C"/>
    <w:rsid w:val="001D6FA9"/>
    <w:rsid w:val="001E404E"/>
    <w:rsid w:val="001F5A8E"/>
    <w:rsid w:val="001F5E0E"/>
    <w:rsid w:val="001F67E7"/>
    <w:rsid w:val="00202643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0154"/>
    <w:rsid w:val="002A13E1"/>
    <w:rsid w:val="002A4EDB"/>
    <w:rsid w:val="002A6984"/>
    <w:rsid w:val="002B58C2"/>
    <w:rsid w:val="002C2ADA"/>
    <w:rsid w:val="002C4038"/>
    <w:rsid w:val="002C6F1A"/>
    <w:rsid w:val="002D020C"/>
    <w:rsid w:val="002D3341"/>
    <w:rsid w:val="002D701F"/>
    <w:rsid w:val="002E362D"/>
    <w:rsid w:val="00310236"/>
    <w:rsid w:val="00313DF1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401E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4F750D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76E96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650"/>
    <w:rsid w:val="00691DCC"/>
    <w:rsid w:val="006C2FD8"/>
    <w:rsid w:val="006C5815"/>
    <w:rsid w:val="006C6CEB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07CA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67E79"/>
    <w:rsid w:val="0087583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20EA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4F15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253E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692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38F8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659AD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  <w:rsid w:val="00FF6B3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"/>
    <w:next w:val="Normln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Standardnpsmoodstavce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Standardnpsmoodstavce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Standardnpsmoodstavce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"/>
    <w:autoRedefine/>
    <w:uiPriority w:val="99"/>
    <w:rsid w:val="001F67E7"/>
    <w:pPr>
      <w:numPr>
        <w:numId w:val="4"/>
      </w:numPr>
      <w:spacing w:line="240" w:lineRule="auto"/>
    </w:pPr>
  </w:style>
  <w:style w:type="table" w:styleId="Mkatabulky">
    <w:name w:val="Table Grid"/>
    <w:basedOn w:val="Normlntabul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pat">
    <w:name w:val="footer"/>
    <w:basedOn w:val="Normln"/>
    <w:link w:val="Zpat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nky">
    <w:name w:val="page number"/>
    <w:basedOn w:val="Standardnpsmoodstavce"/>
    <w:uiPriority w:val="99"/>
    <w:rsid w:val="0072048D"/>
    <w:rPr>
      <w:rFonts w:cs="Times New Roman"/>
    </w:rPr>
  </w:style>
  <w:style w:type="paragraph" w:customStyle="1" w:styleId="Normlny1">
    <w:name w:val="Normálny1"/>
    <w:next w:val="Normln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Standardnpsmoodstavce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Zhlav">
    <w:name w:val="header"/>
    <w:basedOn w:val="Normln"/>
    <w:link w:val="Zhlav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character" w:styleId="Odkaznakoment">
    <w:name w:val="annotation reference"/>
    <w:basedOn w:val="Standardnpsmoodstavce"/>
    <w:uiPriority w:val="99"/>
    <w:rsid w:val="00701A7D"/>
    <w:rPr>
      <w:rFonts w:cs="Times New Roman"/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rsid w:val="00701A7D"/>
    <w:rPr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locked/>
    <w:rsid w:val="00701A7D"/>
    <w:rPr>
      <w:rFonts w:ascii="Arial Narrow" w:hAnsi="Arial Narrow" w:cs="Arial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rsid w:val="00701A7D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locked/>
    <w:rsid w:val="00701A7D"/>
    <w:rPr>
      <w:b/>
      <w:bCs/>
    </w:rPr>
  </w:style>
  <w:style w:type="paragraph" w:styleId="Odstavecseseznamem">
    <w:name w:val="List Paragraph"/>
    <w:basedOn w:val="Normln"/>
    <w:uiPriority w:val="34"/>
    <w:qFormat/>
    <w:rsid w:val="00313DF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5617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17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17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17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17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5618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561799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96561800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5618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656180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656180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561800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5617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965617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5618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18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618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1121</Words>
  <Characters>6396</Characters>
  <Application>Microsoft Office Word</Application>
  <DocSecurity>0</DocSecurity>
  <Lines>53</Lines>
  <Paragraphs>15</Paragraphs>
  <ScaleCrop>false</ScaleCrop>
  <Company>MF-SR</Company>
  <LinksUpToDate>false</LinksUpToDate>
  <CharactersWithSpaces>7502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Užívateľ</cp:lastModifiedBy>
  <cp:revision>2</cp:revision>
  <cp:lastPrinted>2021-09-13T07:31:00Z</cp:lastPrinted>
  <dcterms:created xsi:type="dcterms:W3CDTF">2024-03-31T22:00:00Z</dcterms:created>
  <dcterms:modified xsi:type="dcterms:W3CDTF">2024-03-31T22:00:00Z</dcterms:modified>
</cp:coreProperties>
</file>