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glossary/_rels/document.xml.rels" ContentType="application/vnd.openxmlformats-package.relationships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settings.xml" ContentType="application/vnd.openxmlformats-officedocument.wordprocessingml.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b/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"/>
        </w:numPr>
        <w:tabs>
          <w:tab w:val="left" w:pos="284" w:leader="none"/>
        </w:tabs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9498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4781"/>
        <w:gridCol w:w="4716"/>
      </w:tblGrid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4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rPr/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4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Nižná Boca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left"/>
              <w:rPr/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4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>
                <w:sz w:val="24"/>
                <w:szCs w:val="24"/>
              </w:rPr>
              <w:t>Nižná Boca č. 3, 032 34 Malužiná</w:t>
            </w:r>
            <w:r>
              <w:rPr>
                <w:b/>
                <w:sz w:val="36"/>
              </w:rPr>
              <w:t xml:space="preserve">  </w:t>
            </w:r>
          </w:p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4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00315648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4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č.369/1990 Zb. o obecnom zriadení.</w:t>
            </w:r>
            <w:r>
              <w:rPr>
                <w:color w:val="FF0000"/>
                <w:sz w:val="24"/>
                <w:szCs w:val="24"/>
              </w:rPr>
              <w:t xml:space="preserve">   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4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- zo zákona č.369/1990 Zb. 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b) Právny dôvod na zostavenie účtovnej závierk</w:t>
            </w:r>
            <w:bookmarkStart w:id="0" w:name="__DdeLink__2686_1639708795"/>
            <w:r>
              <w:rPr>
                <w:sz w:val="24"/>
                <w:szCs w:val="24"/>
              </w:rPr>
              <w:t>y</w:t>
            </w:r>
            <w:bookmarkEnd w:id="0"/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4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sz w:val="24"/>
                <w:szCs w:val="24"/>
              </w:rPr>
              <w:t>riadna za účtovné obodobie od 1.1. 2023 do 31.12.2023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4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  <w:p>
            <w:pPr>
              <w:pStyle w:val="Normal"/>
              <w:rPr>
                <w:rFonts w:cs="Tahoma"/>
                <w:b/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nie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4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  <w:p>
            <w:pPr>
              <w:pStyle w:val="Normal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</w:tc>
      </w:tr>
    </w:tbl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"/>
        </w:numPr>
        <w:tabs>
          <w:tab w:val="left" w:pos="284" w:leader="none"/>
        </w:tabs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9498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4781"/>
        <w:gridCol w:w="4716"/>
      </w:tblGrid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4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  <w:highlight w:val="white"/>
              </w:rPr>
            </w:pPr>
            <w:r>
              <w:rPr>
                <w:sz w:val="24"/>
                <w:szCs w:val="24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fill="FFFFFF" w:val="clear"/>
              </w:rPr>
              <w:t>pri výkone samosprávy starostlivosť o všestranný rozvoj jej územia a o potreby jej obyvateľov</w:t>
            </w:r>
          </w:p>
        </w:tc>
      </w:tr>
    </w:tbl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"/>
        </w:numPr>
        <w:tabs>
          <w:tab w:val="left" w:pos="284" w:leader="none"/>
        </w:tabs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9498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4781"/>
        <w:gridCol w:w="4716"/>
      </w:tblGrid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4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Silvia Skusilová</w:t>
            </w:r>
          </w:p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4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Milan Hromádka, zástupca starostky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>
            <w:pPr>
              <w:pStyle w:val="Normal"/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4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4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 nie je delený na útvary</w:t>
            </w:r>
          </w:p>
        </w:tc>
      </w:tr>
    </w:tbl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2"/>
        </w:numPr>
        <w:tabs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</w:t>
        <w:tab/>
        <w:tab/>
        <w:tab/>
        <w:tab/>
        <w:t xml:space="preserve">- áno     </w:t>
      </w:r>
    </w:p>
    <w:p>
      <w:pPr>
        <w:pStyle w:val="Normal"/>
        <w:ind w:left="284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</w:t>
      </w:r>
    </w:p>
    <w:p>
      <w:pPr>
        <w:pStyle w:val="Normal"/>
        <w:spacing w:lineRule="auto" w:line="36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2"/>
        </w:numPr>
        <w:tabs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>
      <w:pPr>
        <w:pStyle w:val="Normal"/>
        <w:ind w:left="284" w:hanging="0"/>
        <w:jc w:val="both"/>
        <w:rPr>
          <w:rFonts w:cs="Tahoma"/>
          <w:b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nezmenila účtovné metódy, účtovné zásady oproti predchádzajúcemu účtovnému obdobiu                                                                                       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2"/>
        </w:numPr>
        <w:tabs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9498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6378"/>
        <w:gridCol w:w="3119"/>
      </w:tblGrid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ind w:left="1" w:hanging="0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>
            <w:pPr>
              <w:pStyle w:val="Normal"/>
              <w:ind w:left="284" w:hanging="0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ind w:left="1" w:hanging="0"/>
              <w:jc w:val="left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>
            <w:pPr>
              <w:pStyle w:val="Telotextu"/>
              <w:ind w:left="0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pasím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ind w:left="34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>
      <w:pPr>
        <w:pStyle w:val="Normal"/>
        <w:ind w:left="284" w:hanging="0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</w:r>
    </w:p>
    <w:p>
      <w:pPr>
        <w:pStyle w:val="Normal"/>
        <w:numPr>
          <w:ilvl w:val="0"/>
          <w:numId w:val="2"/>
        </w:numPr>
        <w:tabs>
          <w:tab w:val="left" w:pos="284" w:leader="none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>
      <w:pPr>
        <w:pStyle w:val="Normal"/>
        <w:ind w:left="284" w:hanging="0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</w:r>
    </w:p>
    <w:p>
      <w:pPr>
        <w:pStyle w:val="Normal"/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 prvým dňom mesiaca nasledujúceho po uvedení dlhodobého majetku do používania.</w:t>
      </w:r>
      <w:r>
        <w:rPr>
          <w:color w:val="FF0000"/>
          <w:sz w:val="24"/>
          <w:szCs w:val="24"/>
        </w:rPr>
        <w:t xml:space="preserve"> 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 xml:space="preserve">Spôsob zostavenia odpisového plánu – programové vybavenie v programe Topset Solutions s.r.o., Stupava.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Účtovná jednotka zaraďuje majetok do odpisových skupín 1-6 v zmysle zákona č.595/2003 Z.z. o dani z príjmov v z.n.p. Predpokladaná doba používania a odpisové sadzby sú stanovené vnútorným predpisom.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>Účtovné odpisy sa zaokrúhľujú na najbližší eurocent matematicky.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>V roku 2021 sa neupravovala doba odpisovania.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</w:r>
    </w:p>
    <w:tbl>
      <w:tblPr>
        <w:tblW w:w="9072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2962"/>
        <w:gridCol w:w="3069"/>
        <w:gridCol w:w="3041"/>
      </w:tblGrid>
      <w:tr>
        <w:trPr/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Predpokladaná doba 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Ročná odpisová sadzba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v %</w:t>
            </w:r>
          </w:p>
        </w:tc>
      </w:tr>
      <w:tr>
        <w:trPr/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6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16,66</w:t>
            </w:r>
          </w:p>
        </w:tc>
      </w:tr>
      <w:tr>
        <w:trPr/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2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10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10,00</w:t>
            </w:r>
          </w:p>
        </w:tc>
      </w:tr>
      <w:tr>
        <w:trPr/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3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20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5,00</w:t>
            </w:r>
          </w:p>
        </w:tc>
      </w:tr>
      <w:tr>
        <w:trPr/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4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20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5,00</w:t>
            </w:r>
          </w:p>
        </w:tc>
      </w:tr>
      <w:tr>
        <w:trPr/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5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50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2,00</w:t>
            </w:r>
          </w:p>
        </w:tc>
      </w:tr>
      <w:tr>
        <w:trPr/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6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50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2,00</w:t>
            </w:r>
          </w:p>
        </w:tc>
      </w:tr>
      <w:tr>
        <w:trPr/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7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2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50,00</w:t>
            </w:r>
          </w:p>
        </w:tc>
      </w:tr>
    </w:tbl>
    <w:p>
      <w:pPr>
        <w:pStyle w:val="Normal"/>
        <w:jc w:val="both"/>
        <w:rPr>
          <w:sz w:val="24"/>
        </w:rPr>
      </w:pPr>
      <w:r>
        <w:rPr>
          <w:sz w:val="24"/>
        </w:rPr>
      </w:r>
    </w:p>
    <w:p>
      <w:pPr>
        <w:pStyle w:val="Normal"/>
        <w:jc w:val="both"/>
        <w:rPr>
          <w:sz w:val="24"/>
        </w:rPr>
      </w:pPr>
      <w:r>
        <w:rPr>
          <w:sz w:val="24"/>
        </w:rPr>
        <w:t>Drobný dlhodobý nehmotný a hmotný majetok – skupina 7 sa odpisuje 2 roky.</w:t>
      </w:r>
    </w:p>
    <w:p>
      <w:pPr>
        <w:pStyle w:val="Normal"/>
        <w:jc w:val="both"/>
        <w:rPr>
          <w:sz w:val="24"/>
        </w:rPr>
      </w:pPr>
      <w:r>
        <w:rPr>
          <w:sz w:val="24"/>
        </w:rPr>
        <w:t>Drobný nehmotný majetok od 0,01 Eur do 2 400,00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>
      <w:pPr>
        <w:pStyle w:val="Normal"/>
        <w:jc w:val="both"/>
        <w:rPr>
          <w:sz w:val="24"/>
        </w:rPr>
      </w:pPr>
      <w:r>
        <w:rPr>
          <w:sz w:val="24"/>
        </w:rPr>
        <w:t>Drobný hmotný majetok od 0,01 Eur do 1 700,00 Eur, ktorý podľa vnútorného predpisu účtovnej jednotky nie je dlhodobým hmotným majetkom sa účtuje priamo do nákladov na účet 501. Podľa predpokladanej doby používania sa zaeviduje do operatívnotechnickej evidencie.</w:t>
      </w:r>
    </w:p>
    <w:p>
      <w:pPr>
        <w:pStyle w:val="Pismenka"/>
        <w:tabs>
          <w:tab w:val="clear" w:pos="426"/>
        </w:tabs>
        <w:ind w:left="425" w:hanging="425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numPr>
          <w:ilvl w:val="0"/>
          <w:numId w:val="2"/>
        </w:numPr>
        <w:tabs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>
      <w:pPr>
        <w:pStyle w:val="Normal"/>
        <w:ind w:left="284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opravnou položkou.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>
      <w:pPr>
        <w:pStyle w:val="Normal"/>
        <w:numPr>
          <w:ilvl w:val="0"/>
          <w:numId w:val="18"/>
        </w:numPr>
        <w:rPr/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/>
        <w:instrText> FORMCHECKBOX </w:instrText>
      </w:r>
      <w:r>
        <w:rPr/>
        <w:fldChar w:fldCharType="separate"/>
      </w:r>
      <w:bookmarkStart w:id="1" w:name="__Fieldmark__315_1463304535"/>
      <w:bookmarkStart w:id="2" w:name="__Fieldmark__387_1639708795"/>
      <w:bookmarkStart w:id="3" w:name="__Fieldmark__315_1463304535"/>
      <w:bookmarkStart w:id="4" w:name="__Fieldmark__315_1463304535"/>
      <w:bookmarkEnd w:id="2"/>
      <w:bookmarkEnd w:id="4"/>
      <w:r>
        <w:rPr/>
      </w:r>
      <w:r>
        <w:rPr/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nie</w:t>
      </w:r>
    </w:p>
    <w:p>
      <w:pPr>
        <w:pStyle w:val="Normal"/>
        <w:numPr>
          <w:ilvl w:val="0"/>
          <w:numId w:val="18"/>
        </w:numPr>
        <w:rPr/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</w:t>
        <w:tab/>
        <w:tab/>
        <w:t xml:space="preserve">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/>
        <w:instrText> FORMCHECKBOX </w:instrText>
      </w:r>
      <w:r>
        <w:rPr/>
        <w:fldChar w:fldCharType="separate"/>
      </w:r>
      <w:bookmarkStart w:id="5" w:name="__Fieldmark__329_1463304535"/>
      <w:bookmarkStart w:id="6" w:name="__Fieldmark__404_1639708795"/>
      <w:bookmarkStart w:id="7" w:name="__Fieldmark__329_1463304535"/>
      <w:bookmarkStart w:id="8" w:name="__Fieldmark__329_1463304535"/>
      <w:bookmarkEnd w:id="6"/>
      <w:bookmarkEnd w:id="8"/>
      <w:r>
        <w:rPr/>
      </w:r>
      <w:r>
        <w:rPr/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nie</w:t>
      </w:r>
    </w:p>
    <w:p>
      <w:pPr>
        <w:pStyle w:val="Normal"/>
        <w:numPr>
          <w:ilvl w:val="0"/>
          <w:numId w:val="18"/>
        </w:numPr>
        <w:rPr/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  <w:tab/>
        <w:tab/>
        <w:tab/>
        <w:tab/>
        <w:t xml:space="preserve">                      x</w:t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/>
        <w:instrText> FORMCHECKBOX </w:instrText>
      </w:r>
      <w:r>
        <w:rPr/>
        <w:fldChar w:fldCharType="separate"/>
      </w:r>
      <w:bookmarkStart w:id="9" w:name="__Fieldmark__346_1463304535"/>
      <w:bookmarkStart w:id="10" w:name="__Fieldmark__418_1639708795"/>
      <w:bookmarkStart w:id="11" w:name="__Fieldmark__346_1463304535"/>
      <w:bookmarkStart w:id="12" w:name="__Fieldmark__346_1463304535"/>
      <w:bookmarkEnd w:id="10"/>
      <w:bookmarkEnd w:id="12"/>
      <w:r>
        <w:rPr/>
      </w:r>
      <w:r>
        <w:rPr/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numPr>
          <w:ilvl w:val="0"/>
          <w:numId w:val="18"/>
        </w:numPr>
        <w:rPr/>
      </w:pPr>
      <w:r>
        <w:rPr>
          <w:rFonts w:cs="Tahoma"/>
          <w:bCs/>
          <w:sz w:val="24"/>
          <w:szCs w:val="24"/>
        </w:rPr>
        <w:t xml:space="preserve">dlhodobému finančnému majetku   </w:t>
        <w:tab/>
      </w:r>
      <w:r>
        <w:rPr>
          <w:rFonts w:cs="Tahoma"/>
          <w:b/>
          <w:bCs/>
          <w:sz w:val="24"/>
          <w:szCs w:val="24"/>
        </w:rPr>
        <w:tab/>
        <w:tab/>
        <w:t xml:space="preserve">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/>
        <w:instrText> FORMCHECKBOX </w:instrText>
      </w:r>
      <w:r>
        <w:rPr/>
        <w:fldChar w:fldCharType="separate"/>
      </w:r>
      <w:bookmarkStart w:id="13" w:name="__Fieldmark__360_1463304535"/>
      <w:bookmarkStart w:id="14" w:name="__Fieldmark__429_1639708795"/>
      <w:bookmarkStart w:id="15" w:name="__Fieldmark__360_1463304535"/>
      <w:bookmarkStart w:id="16" w:name="__Fieldmark__360_1463304535"/>
      <w:bookmarkEnd w:id="14"/>
      <w:bookmarkEnd w:id="16"/>
      <w:r>
        <w:rPr/>
      </w:r>
      <w:r>
        <w:rPr/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nie</w:t>
      </w:r>
    </w:p>
    <w:p>
      <w:pPr>
        <w:pStyle w:val="Normal"/>
        <w:numPr>
          <w:ilvl w:val="0"/>
          <w:numId w:val="18"/>
        </w:numPr>
        <w:rPr/>
      </w:pPr>
      <w:r>
        <w:rPr>
          <w:rFonts w:cs="Tahoma"/>
          <w:bCs/>
          <w:sz w:val="24"/>
          <w:szCs w:val="24"/>
        </w:rPr>
        <w:t xml:space="preserve">pohľadávkam                                    </w:t>
        <w:tab/>
      </w:r>
      <w:r>
        <w:rPr>
          <w:rFonts w:cs="Tahoma"/>
          <w:b/>
          <w:bCs/>
          <w:sz w:val="24"/>
          <w:szCs w:val="24"/>
        </w:rPr>
        <w:tab/>
        <w:tab/>
        <w:t xml:space="preserve">                      x</w:t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/>
        <w:instrText> FORMCHECKBOX </w:instrText>
      </w:r>
      <w:r>
        <w:rPr/>
        <w:fldChar w:fldCharType="separate"/>
      </w:r>
      <w:bookmarkStart w:id="17" w:name="__Fieldmark__375_1463304535"/>
      <w:bookmarkStart w:id="18" w:name="__Fieldmark__441_1639708795"/>
      <w:bookmarkStart w:id="19" w:name="__Fieldmark__375_1463304535"/>
      <w:bookmarkStart w:id="20" w:name="__Fieldmark__375_1463304535"/>
      <w:bookmarkEnd w:id="18"/>
      <w:bookmarkEnd w:id="20"/>
      <w:r>
        <w:rPr/>
      </w:r>
      <w:r>
        <w:rPr/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Telotextu"/>
        <w:ind w:left="0" w:hanging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</w:r>
    </w:p>
    <w:p>
      <w:pPr>
        <w:pStyle w:val="Telotextu"/>
        <w:ind w:left="0" w:hanging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Účovná jednotka tvorila opravné položky k nedokončeným investíciám podľa vnútorného predpisu do výšky predpokladaných odpisov odpisov, keby bola investícia zaradená.</w:t>
      </w:r>
    </w:p>
    <w:p>
      <w:pPr>
        <w:pStyle w:val="Telotextu"/>
        <w:ind w:left="0" w:hanging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tvorila opravné položky k pohľadávkam v rámci hlavnej činnosti,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>
      <w:pPr>
        <w:pStyle w:val="Telotextu"/>
        <w:ind w:left="0" w:hanging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</w:r>
    </w:p>
    <w:tbl>
      <w:tblPr>
        <w:tblW w:w="9180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1558"/>
        <w:gridCol w:w="7621"/>
      </w:tblGrid>
      <w:tr>
        <w:trPr/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mesiacov</w:t>
            </w:r>
          </w:p>
        </w:tc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   25 % menovitej hodnoty pohľadávky bez príslušenstva </w:t>
            </w:r>
          </w:p>
        </w:tc>
      </w:tr>
      <w:tr>
        <w:trPr/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mesiacov</w:t>
            </w:r>
          </w:p>
        </w:tc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50 % menovitej hodnoty pohľadávky bez príslušenstva</w:t>
            </w:r>
          </w:p>
        </w:tc>
      </w:tr>
      <w:tr>
        <w:trPr/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mesiacov</w:t>
            </w:r>
          </w:p>
        </w:tc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výšky  100 % menovitej hodnoty pohľadávky bez príslušenstva</w:t>
            </w:r>
          </w:p>
        </w:tc>
      </w:tr>
    </w:tbl>
    <w:p>
      <w:pPr>
        <w:pStyle w:val="Telotextu"/>
        <w:ind w:left="0" w:hanging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</w:r>
    </w:p>
    <w:p>
      <w:pPr>
        <w:pStyle w:val="Normal"/>
        <w:numPr>
          <w:ilvl w:val="0"/>
          <w:numId w:val="2"/>
        </w:numPr>
        <w:tabs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>
      <w:pPr>
        <w:pStyle w:val="Normal"/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prijatý od cudzích subjektov - sa  zúčtuje do výnosov  vo vecnej a časovej súvislosti s nákladmi</w:t>
      </w:r>
    </w:p>
    <w:p>
      <w:pPr>
        <w:pStyle w:val="Normal"/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poskytnutý cudzím subjektom - sa  zúčtuje do nákladov po splnení podmienok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>
      <w:pPr>
        <w:pStyle w:val="Normal"/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cudzích subjektov - sa  zúčtuje do výnosov  vo vecnej a časovej súvislosti s nákladmi (napr. s odpismi, s opravnou položkou, so zostatkovou hodnotou vyradeného dlhodobého majetku). 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>
      <w:pPr>
        <w:pStyle w:val="Normal"/>
        <w:numPr>
          <w:ilvl w:val="0"/>
          <w:numId w:val="4"/>
        </w:numPr>
        <w:tabs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>
      <w:pPr>
        <w:pStyle w:val="Pismenka"/>
        <w:numPr>
          <w:ilvl w:val="0"/>
          <w:numId w:val="5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false"/>
          <w:sz w:val="24"/>
          <w:szCs w:val="24"/>
        </w:rPr>
        <w:t>(tabuľka č.1)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Obec v r. 2021: </w:t>
      </w:r>
    </w:p>
    <w:p>
      <w:pPr>
        <w:pStyle w:val="Pismenka"/>
        <w:tabs>
          <w:tab w:val="clear" w:pos="426"/>
        </w:tabs>
        <w:ind w:left="0" w:hanging="0"/>
        <w:rPr/>
      </w:pPr>
      <w:r>
        <w:rPr>
          <w:b w:val="false"/>
          <w:sz w:val="24"/>
          <w:szCs w:val="24"/>
        </w:rPr>
        <w:t>Obstarala nedokončenú investíciu – územný plán obce   – 4.244,00 Eur (účet 041)</w:t>
      </w:r>
    </w:p>
    <w:p>
      <w:pPr>
        <w:pStyle w:val="Pismenka"/>
        <w:tabs>
          <w:tab w:val="clear" w:pos="426"/>
        </w:tabs>
        <w:ind w:left="0" w:hanging="0"/>
        <w:rPr/>
      </w:pPr>
      <w:r>
        <w:rPr>
          <w:b w:val="false"/>
          <w:sz w:val="24"/>
          <w:szCs w:val="24"/>
        </w:rPr>
        <w:t>Zaradila nákup pozemkov vo výške 1.193,91 Eur (účet 031)</w:t>
      </w:r>
    </w:p>
    <w:p>
      <w:pPr>
        <w:pStyle w:val="Pismenka"/>
        <w:tabs>
          <w:tab w:val="clear" w:pos="426"/>
        </w:tabs>
        <w:ind w:left="0" w:hanging="0"/>
        <w:rPr/>
      </w:pPr>
      <w:r>
        <w:rPr>
          <w:b w:val="false"/>
          <w:sz w:val="24"/>
          <w:szCs w:val="24"/>
        </w:rPr>
        <w:t>Zaradila do majetku zateplenie a vykurovanie KD v celkovej výške 209.954,59 Eur (účet021)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5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false"/>
          <w:sz w:val="24"/>
          <w:szCs w:val="24"/>
        </w:rPr>
        <w:t xml:space="preserve">dlhodobého nehmotného majetku a dlhodobého hmotného majetku </w:t>
      </w:r>
    </w:p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9180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043"/>
        <w:gridCol w:w="5136"/>
      </w:tblGrid>
      <w:tr>
        <w:trPr/>
        <w:tc>
          <w:tcPr>
            <w:tcW w:w="4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Výška poistenia</w:t>
            </w:r>
          </w:p>
        </w:tc>
      </w:tr>
      <w:tr>
        <w:trPr/>
        <w:tc>
          <w:tcPr>
            <w:tcW w:w="4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Komunálna poisťovňa, a.s., Bratislava – poistenie majetku a zodpovednosti za škodu PO</w:t>
            </w:r>
          </w:p>
        </w:tc>
        <w:tc>
          <w:tcPr>
            <w:tcW w:w="5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Majetok je poistený do výšky 945 637,88 Eur  - „balík združený živel“ ročné poistné 605,51 Eur</w:t>
            </w:r>
          </w:p>
        </w:tc>
      </w:tr>
      <w:tr>
        <w:trPr/>
        <w:tc>
          <w:tcPr>
            <w:tcW w:w="4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Komunálna poisťovňa, a.s., Bratislava – poistenie majetku a zodpovednosti za škodu PO</w:t>
            </w:r>
          </w:p>
        </w:tc>
        <w:tc>
          <w:tcPr>
            <w:tcW w:w="5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Multifunkčné ihrisko – poistná suma 43 939,67 Eur,</w:t>
            </w:r>
          </w:p>
          <w:p>
            <w:pPr>
              <w:pStyle w:val="Normal"/>
              <w:jc w:val="center"/>
              <w:rPr/>
            </w:pPr>
            <w:r>
              <w:rPr/>
              <w:t xml:space="preserve"> </w:t>
            </w:r>
            <w:r>
              <w:rPr/>
              <w:t>ročné poistné 94,32 Eur</w:t>
            </w:r>
          </w:p>
        </w:tc>
      </w:tr>
      <w:tr>
        <w:trPr/>
        <w:tc>
          <w:tcPr>
            <w:tcW w:w="4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Komunálna poisťovňa, a.s., Bratislava – zákonné pistenie motorového vozidla </w:t>
            </w:r>
          </w:p>
        </w:tc>
        <w:tc>
          <w:tcPr>
            <w:tcW w:w="5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Obecná V3S – ročné poistné 399,20 Eur</w:t>
            </w:r>
          </w:p>
          <w:p>
            <w:pPr>
              <w:pStyle w:val="Normal"/>
              <w:jc w:val="center"/>
              <w:rPr/>
            </w:pPr>
            <w:r>
              <w:rPr/>
            </w:r>
          </w:p>
        </w:tc>
      </w:tr>
    </w:tbl>
    <w:p>
      <w:pPr>
        <w:pStyle w:val="Normal"/>
        <w:ind w:left="426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numPr>
          <w:ilvl w:val="0"/>
          <w:numId w:val="5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false"/>
          <w:sz w:val="24"/>
          <w:szCs w:val="24"/>
        </w:rPr>
        <w:t>na dlhodobý nehmotný majetok a dlhodobý hmotný majetok alebo obmedzenie práva nakladať s dlhodobým majetkom</w:t>
      </w:r>
    </w:p>
    <w:p>
      <w:pPr>
        <w:pStyle w:val="Normal"/>
        <w:ind w:left="284" w:hanging="0"/>
        <w:jc w:val="both"/>
        <w:rPr>
          <w:sz w:val="24"/>
          <w:szCs w:val="24"/>
        </w:rPr>
      </w:pPr>
      <w:r>
        <w:rPr>
          <w:sz w:val="24"/>
          <w:szCs w:val="24"/>
        </w:rPr>
        <w:t>Nie je zriadené záložné právo na dlhodobý majetok obce.</w:t>
      </w:r>
    </w:p>
    <w:p>
      <w:pPr>
        <w:pStyle w:val="Normal"/>
        <w:ind w:left="284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p>
      <w:pPr>
        <w:pStyle w:val="Pismenka"/>
        <w:tabs>
          <w:tab w:val="clear" w:pos="426"/>
        </w:tabs>
        <w:ind w:left="284" w:hanging="0"/>
        <w:rPr>
          <w:sz w:val="24"/>
          <w:szCs w:val="24"/>
        </w:rPr>
      </w:pPr>
      <w:r>
        <w:rPr>
          <w:sz w:val="24"/>
          <w:szCs w:val="24"/>
        </w:rPr>
      </w:r>
    </w:p>
    <w:tbl>
      <w:tblPr>
        <w:tblW w:w="9214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5219"/>
        <w:gridCol w:w="3994"/>
      </w:tblGrid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Majetok, 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/>
              <w:t>ku ktorému</w:t>
            </w:r>
            <w:r>
              <w:rPr>
                <w:b/>
              </w:rPr>
              <w:t xml:space="preserve"> má</w:t>
            </w:r>
            <w:r>
              <w:rPr/>
              <w:t xml:space="preserve"> účtovná jednotka vlastnícke právo</w:t>
            </w:r>
          </w:p>
        </w:tc>
        <w:tc>
          <w:tcPr>
            <w:tcW w:w="3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Pozemky</w:t>
            </w:r>
          </w:p>
        </w:tc>
        <w:tc>
          <w:tcPr>
            <w:tcW w:w="3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73.928,66 Eur</w:t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Softvér</w:t>
            </w:r>
          </w:p>
        </w:tc>
        <w:tc>
          <w:tcPr>
            <w:tcW w:w="3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637,88 Eur</w:t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Budovy, stavby</w:t>
            </w:r>
          </w:p>
        </w:tc>
        <w:tc>
          <w:tcPr>
            <w:tcW w:w="3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1.268.512,51 Eur</w:t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Stroje, prístroje, zariadenia, inventár</w:t>
            </w:r>
          </w:p>
        </w:tc>
        <w:tc>
          <w:tcPr>
            <w:tcW w:w="3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12 .433,93 Eur</w:t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Dopravné prostriedky </w:t>
            </w:r>
          </w:p>
        </w:tc>
        <w:tc>
          <w:tcPr>
            <w:tcW w:w="3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 Eur</w:t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Dlhodobý nehmotný majetok - ÚPD</w:t>
            </w:r>
          </w:p>
        </w:tc>
        <w:tc>
          <w:tcPr>
            <w:tcW w:w="3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16 .236,45 Eur</w:t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Drobný dlhodobý hmotný majetok</w:t>
            </w:r>
          </w:p>
        </w:tc>
        <w:tc>
          <w:tcPr>
            <w:tcW w:w="3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4 .304,27 Eur</w:t>
            </w:r>
          </w:p>
        </w:tc>
      </w:tr>
    </w:tbl>
    <w:p>
      <w:pPr>
        <w:pStyle w:val="Pismenka"/>
        <w:numPr>
          <w:ilvl w:val="0"/>
          <w:numId w:val="5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false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9214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5219"/>
        <w:gridCol w:w="3994"/>
      </w:tblGrid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>
            <w:pPr>
              <w:pStyle w:val="Normal"/>
              <w:jc w:val="center"/>
              <w:rPr/>
            </w:pPr>
            <w:r>
              <w:rPr/>
              <w:t xml:space="preserve">ku ktorému </w:t>
            </w:r>
            <w:r>
              <w:rPr>
                <w:b/>
              </w:rPr>
              <w:t>nemá</w:t>
            </w:r>
            <w:r>
              <w:rPr/>
              <w:t xml:space="preserve"> účtovná jednotka vlastnícke právo</w:t>
            </w:r>
          </w:p>
        </w:tc>
        <w:tc>
          <w:tcPr>
            <w:tcW w:w="3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>
        <w:trPr/>
        <w:tc>
          <w:tcPr>
            <w:tcW w:w="5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3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</w:tbl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Obec nemá v správe majetok, ku ktorému nemá vlastnícke právo.</w:t>
      </w:r>
    </w:p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5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false"/>
          <w:sz w:val="24"/>
          <w:szCs w:val="24"/>
        </w:rPr>
        <w:t>k dlhodobému nehmotnému majetku a dlhodobému hmotnému majetku.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/>
      </w:pPr>
      <w:r>
        <w:rPr>
          <w:sz w:val="24"/>
          <w:szCs w:val="24"/>
        </w:rPr>
        <w:t>V roku 2023 bola navýšená opravná položka vytvorená v r. 2016 k rozostavanej stavbe ČOV do výšky predpokladaných odpisov od začiatku r. výstavby – 2008.</w:t>
      </w:r>
    </w:p>
    <w:p>
      <w:pPr>
        <w:pStyle w:val="Normal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</w:r>
    </w:p>
    <w:tbl>
      <w:tblPr>
        <w:tblW w:w="9639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2268"/>
        <w:gridCol w:w="1132"/>
        <w:gridCol w:w="994"/>
        <w:gridCol w:w="708"/>
        <w:gridCol w:w="710"/>
        <w:gridCol w:w="1276"/>
        <w:gridCol w:w="2550"/>
      </w:tblGrid>
      <w:tr>
        <w:trPr/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Druh DM, ku ktorému bola tvorená opravná položka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>
            <w:pPr>
              <w:pStyle w:val="Normal"/>
              <w:jc w:val="center"/>
              <w:rPr/>
            </w:pPr>
            <w:r>
              <w:rPr>
                <w:b/>
                <w:sz w:val="16"/>
                <w:szCs w:val="16"/>
              </w:rPr>
              <w:t>OP k 31.12.2022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Eur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Eur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  <w:p>
            <w:pPr>
              <w:pStyle w:val="Normal"/>
              <w:jc w:val="center"/>
              <w:rPr/>
            </w:pPr>
            <w:r>
              <w:rPr>
                <w:b/>
                <w:sz w:val="16"/>
                <w:szCs w:val="16"/>
              </w:rPr>
              <w:t>k 31.12.2023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Eur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>
        <w:trPr/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042 - Projektová dokumentácia  - vodovod IV. stavba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 </w:t>
            </w:r>
            <w:r>
              <w:rPr/>
              <w:t xml:space="preserve">4 528,64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 </w:t>
            </w:r>
            <w:r>
              <w:rPr/>
              <w:t xml:space="preserve">4 528,64 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Vytvorenie OP do výšky odpisov od roku nadobudnutia PD</w:t>
            </w:r>
          </w:p>
        </w:tc>
      </w:tr>
      <w:tr>
        <w:trPr/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042 – PD – kanalizácia a začatá výstavba ČOV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103.775,17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103.775,17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Vytvorená OP do výšky odpisov od roku nadobudnutia PD a vybudovania ČOV – nedokončené</w:t>
            </w:r>
          </w:p>
        </w:tc>
      </w:tr>
      <w:tr>
        <w:trPr/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042 – projektová dokumentácia – prístupová komunikácia Horné lúky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  </w:t>
            </w:r>
            <w:r>
              <w:rPr/>
              <w:t>2 707,54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  </w:t>
            </w:r>
            <w:r>
              <w:rPr/>
              <w:t>2 707,54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Vytvorená OP do výšky odpisov od roku nadobudnutia PD</w:t>
            </w:r>
          </w:p>
        </w:tc>
      </w:tr>
    </w:tbl>
    <w:p>
      <w:pPr>
        <w:pStyle w:val="Normal"/>
        <w:ind w:left="284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4"/>
        </w:numPr>
        <w:tabs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>
      <w:pPr>
        <w:pStyle w:val="Pismenka"/>
        <w:numPr>
          <w:ilvl w:val="0"/>
          <w:numId w:val="6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false"/>
          <w:sz w:val="24"/>
          <w:szCs w:val="24"/>
        </w:rPr>
        <w:t xml:space="preserve"> - tabuľka č.1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Nie je účtovaná opravná položka k dlhodobému finančnému majetku.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4"/>
        </w:numPr>
        <w:tabs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Obec nemá majetkové podiely v iných spoločnostiach.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numPr>
          <w:ilvl w:val="0"/>
          <w:numId w:val="4"/>
        </w:numPr>
        <w:tabs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>
      <w:pPr>
        <w:pStyle w:val="Normal"/>
        <w:ind w:left="284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Pismenka"/>
        <w:numPr>
          <w:ilvl w:val="0"/>
          <w:numId w:val="7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9781" w:type="dxa"/>
        <w:jc w:val="left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2339"/>
        <w:gridCol w:w="900"/>
        <w:gridCol w:w="1080"/>
        <w:gridCol w:w="925"/>
        <w:gridCol w:w="992"/>
        <w:gridCol w:w="1843"/>
        <w:gridCol w:w="1701"/>
      </w:tblGrid>
      <w:tr>
        <w:trPr/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/>
              <w:t>Názov emitenta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/>
              <w:t>Druh cenného papiera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/>
              <w:t>Mena</w:t>
            </w:r>
          </w:p>
          <w:p>
            <w:pPr>
              <w:pStyle w:val="Normal"/>
              <w:jc w:val="center"/>
              <w:rPr/>
            </w:pPr>
            <w:r>
              <w:rPr/>
              <w:t>cenného papiera</w:t>
            </w: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/>
              <w:t>Podiel v %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/>
              <w:t>Dátum splatnosti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/>
              <w:t xml:space="preserve">Účtovná hodnota vykázaná v súvahe účtovnej jednotky </w:t>
            </w:r>
          </w:p>
          <w:p>
            <w:pPr>
              <w:pStyle w:val="Normal"/>
              <w:jc w:val="center"/>
              <w:rPr/>
            </w:pPr>
            <w:r>
              <w:rPr/>
              <w:t>k 31.12. 2022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/>
              <w:t xml:space="preserve">Účtovná hodnota vykázaná v súvahe účtovnej jednotky </w:t>
            </w:r>
          </w:p>
          <w:p>
            <w:pPr>
              <w:pStyle w:val="Normal"/>
              <w:jc w:val="center"/>
              <w:rPr/>
            </w:pPr>
            <w:r>
              <w:rPr/>
              <w:t>k 31.12. 2023</w:t>
            </w:r>
          </w:p>
        </w:tc>
      </w:tr>
      <w:tr>
        <w:trPr/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Liptovská vodárenská spoločnosť, a.s.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Akcia kmeňová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Eur</w:t>
            </w: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0,228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46 048,40 Eur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46 048,40 Eur</w:t>
            </w:r>
          </w:p>
        </w:tc>
      </w:tr>
    </w:tbl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left="2520" w:hanging="2520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B/  Obežný majetok </w:t>
      </w:r>
    </w:p>
    <w:p>
      <w:pPr>
        <w:pStyle w:val="Normal"/>
        <w:numPr>
          <w:ilvl w:val="0"/>
          <w:numId w:val="8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>
      <w:pPr>
        <w:pStyle w:val="Normal"/>
        <w:ind w:left="284" w:hanging="0"/>
        <w:jc w:val="both"/>
        <w:rPr/>
      </w:pPr>
      <w:r>
        <w:rPr>
          <w:sz w:val="24"/>
          <w:szCs w:val="24"/>
        </w:rPr>
        <w:t>Obec má zaúčtované na účte 112 – Materiál na sklade knihy „Čarovný Liptov“ – 18 ks v celkovej sume 280,50 Eur.</w:t>
      </w:r>
    </w:p>
    <w:p>
      <w:pPr>
        <w:pStyle w:val="Normal"/>
        <w:ind w:left="284" w:hanging="0"/>
        <w:jc w:val="both"/>
        <w:rPr>
          <w:sz w:val="24"/>
          <w:szCs w:val="24"/>
        </w:rPr>
      </w:pPr>
      <w:r>
        <w:rPr>
          <w:sz w:val="24"/>
          <w:szCs w:val="24"/>
        </w:rPr>
        <w:t>Opravná položka k zásobám nebola tvorená.</w:t>
      </w:r>
    </w:p>
    <w:p>
      <w:pPr>
        <w:pStyle w:val="Normal"/>
        <w:ind w:left="284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8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false"/>
          <w:sz w:val="24"/>
          <w:szCs w:val="24"/>
        </w:rPr>
        <w:t xml:space="preserve"> podľa jednotlivých položiek súvahy </w:t>
      </w:r>
    </w:p>
    <w:p>
      <w:pPr>
        <w:pStyle w:val="Pismenka"/>
        <w:tabs>
          <w:tab w:val="clear" w:pos="426"/>
        </w:tabs>
        <w:ind w:left="284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tabs>
          <w:tab w:val="clear" w:pos="426"/>
        </w:tabs>
        <w:ind w:left="0" w:hanging="0"/>
        <w:rPr/>
      </w:pPr>
      <w:r>
        <w:rPr>
          <w:b w:val="false"/>
          <w:sz w:val="24"/>
          <w:szCs w:val="24"/>
        </w:rPr>
        <w:t xml:space="preserve"> </w:t>
      </w:r>
      <w:r>
        <w:rPr>
          <w:b w:val="false"/>
          <w:sz w:val="24"/>
          <w:szCs w:val="24"/>
        </w:rPr>
        <w:t xml:space="preserve">Obec má pohľadávky po lehote splatnosti  – daň z nehnuteľností z r. 2016 – 2023, a za nezaplatený poplatok za odvoz komunálneho odpadu.  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9924" w:type="dxa"/>
        <w:jc w:val="left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2693"/>
        <w:gridCol w:w="849"/>
        <w:gridCol w:w="1559"/>
        <w:gridCol w:w="1560"/>
        <w:gridCol w:w="3263"/>
      </w:tblGrid>
      <w:tr>
        <w:trPr/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Opis</w:t>
            </w:r>
          </w:p>
        </w:tc>
      </w:tr>
      <w:tr>
        <w:trPr/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Daňová pohľadávka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069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1.844,74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1.358,47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  <w:t>Pohľadávka voči FO – DzN z r. 2016-2023</w:t>
            </w:r>
          </w:p>
        </w:tc>
      </w:tr>
      <w:tr>
        <w:trPr/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Nedaňová pohľadávka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068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240,28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102,48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  <w:t>Pohľadávka voči FO za miestny poplatok 2016-2023</w:t>
            </w:r>
          </w:p>
        </w:tc>
      </w:tr>
      <w:tr>
        <w:trPr/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Ostatné pohľadávky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065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284,57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284,57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  <w:t>Ostatná pohľadávka</w:t>
            </w:r>
          </w:p>
        </w:tc>
      </w:tr>
    </w:tbl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false"/>
          <w:sz w:val="24"/>
          <w:szCs w:val="24"/>
        </w:rPr>
        <w:t xml:space="preserve"> k pohľadávkam - tabuľka č.3</w:t>
      </w:r>
    </w:p>
    <w:p>
      <w:pPr>
        <w:pStyle w:val="Pismenka"/>
        <w:tabs>
          <w:tab w:val="clear" w:pos="426"/>
        </w:tabs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Obec vytvorila opravnú položku k pohľadávkam podľa vnútorného predpisu.</w:t>
      </w:r>
    </w:p>
    <w:p>
      <w:pPr>
        <w:pStyle w:val="Pismenka"/>
        <w:tabs>
          <w:tab w:val="clear" w:pos="426"/>
        </w:tabs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false"/>
          <w:sz w:val="24"/>
          <w:szCs w:val="24"/>
        </w:rPr>
        <w:t xml:space="preserve"> opravných položiek k pohľadávkam</w:t>
      </w:r>
    </w:p>
    <w:p>
      <w:pPr>
        <w:pStyle w:val="Pismenka"/>
        <w:tabs>
          <w:tab w:val="clear" w:pos="426"/>
        </w:tabs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 </w:t>
      </w:r>
    </w:p>
    <w:tbl>
      <w:tblPr>
        <w:tblW w:w="9923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2268"/>
        <w:gridCol w:w="1134"/>
        <w:gridCol w:w="851"/>
        <w:gridCol w:w="851"/>
        <w:gridCol w:w="851"/>
        <w:gridCol w:w="1134"/>
        <w:gridCol w:w="2833"/>
      </w:tblGrid>
      <w:tr>
        <w:trPr/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>
            <w:pPr>
              <w:pStyle w:val="Normal"/>
              <w:jc w:val="center"/>
              <w:rPr/>
            </w:pPr>
            <w:r>
              <w:rPr>
                <w:b/>
                <w:sz w:val="16"/>
                <w:szCs w:val="16"/>
              </w:rPr>
              <w:t>OP k 31.12.2022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  <w:p>
            <w:pPr>
              <w:pStyle w:val="Normal"/>
              <w:jc w:val="center"/>
              <w:rPr/>
            </w:pPr>
            <w:r>
              <w:rPr>
                <w:b/>
                <w:sz w:val="16"/>
                <w:szCs w:val="16"/>
              </w:rPr>
              <w:t>k 31.12.2023</w:t>
            </w: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>
        <w:trPr/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  <w:t>Nedaňové – poplatok za komunálny odpad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119,54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18,26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  </w:t>
            </w:r>
            <w:r>
              <w:rPr/>
              <w:t>137,80</w:t>
            </w: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OP sa zvýšila z dôvodu navýšenia doby splatnosti</w:t>
            </w:r>
          </w:p>
        </w:tc>
      </w:tr>
      <w:tr>
        <w:trPr/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color w:val="FF0000"/>
              </w:rPr>
            </w:pPr>
            <w:r>
              <w:rPr/>
              <w:t>Daňové – daň z nehnut.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528,23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41,96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486,27</w:t>
            </w: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OP sa zvýšila z dôvodu navýšenia doby splatnosti</w:t>
            </w:r>
          </w:p>
        </w:tc>
      </w:tr>
    </w:tbl>
    <w:p>
      <w:pPr>
        <w:pStyle w:val="Pismenka"/>
        <w:tabs>
          <w:tab w:val="clear" w:pos="426"/>
        </w:tabs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c) pohľadávky podľa </w:t>
      </w:r>
      <w:r>
        <w:rPr>
          <w:sz w:val="24"/>
          <w:szCs w:val="24"/>
        </w:rPr>
        <w:t>doby splatnosti</w:t>
      </w:r>
      <w:r>
        <w:rPr>
          <w:b w:val="false"/>
          <w:sz w:val="24"/>
          <w:szCs w:val="24"/>
        </w:rPr>
        <w:t xml:space="preserve"> (riadky 048 a 060 súvahy) - tabuľka č.4</w:t>
      </w:r>
    </w:p>
    <w:p>
      <w:pPr>
        <w:pStyle w:val="Pismenka"/>
        <w:tabs>
          <w:tab w:val="clear" w:pos="426"/>
        </w:tabs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Obec eviduje pohľadávky po lehote splatnosti voči FO   - daň z nehnuteľností a miestny poplatok za komunálny odpad, voči PO – daň z nehnuteľností.</w:t>
      </w:r>
    </w:p>
    <w:p>
      <w:pPr>
        <w:pStyle w:val="Pismenka"/>
        <w:tabs>
          <w:tab w:val="clear" w:pos="426"/>
        </w:tabs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10064" w:type="dxa"/>
        <w:jc w:val="left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4394"/>
        <w:gridCol w:w="1277"/>
        <w:gridCol w:w="1418"/>
        <w:gridCol w:w="2974"/>
      </w:tblGrid>
      <w:tr>
        <w:trPr/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Pohľadávky      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Zostatok k 31.12.2022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brutto  Eur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Zostatok k 31.12.2023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brutto  Eur </w:t>
            </w:r>
          </w:p>
        </w:tc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Z toho pohľadávky po lehote splatnosti 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suma, popis </w:t>
            </w:r>
          </w:p>
        </w:tc>
      </w:tr>
      <w:tr>
        <w:trPr/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b/>
                <w:b/>
              </w:rPr>
            </w:pPr>
            <w:r>
              <w:rPr>
                <w:b/>
              </w:rPr>
              <w:t xml:space="preserve">Dlhodobé pohľadávky z toho: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color w:val="FF0000"/>
              </w:rPr>
            </w:pPr>
            <w:r>
              <w:rPr>
                <w:color w:val="FF0000"/>
              </w:rPr>
            </w:r>
          </w:p>
        </w:tc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  <w:t>Obec nemá dlhodobé  pohľadávky</w:t>
            </w:r>
          </w:p>
        </w:tc>
      </w:tr>
      <w:tr>
        <w:trPr/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678" w:hanging="0"/>
              <w:rPr/>
            </w:pPr>
            <w:r>
              <w:rPr/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b/>
                <w:b/>
              </w:rPr>
            </w:pPr>
            <w:r>
              <w:rPr>
                <w:b/>
              </w:rPr>
              <w:t xml:space="preserve">Krátkodobé pohľadávky z toho: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4.468,99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1.745,520</w:t>
            </w:r>
          </w:p>
        </w:tc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21"/>
              </w:numPr>
              <w:tabs>
                <w:tab w:val="clear" w:pos="708"/>
              </w:tabs>
              <w:ind w:left="214" w:hanging="142"/>
              <w:rPr/>
            </w:pPr>
            <w:r>
              <w:rPr/>
              <w:t>pohľadávky na dani z nehnuteľnosti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459,02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1.358,47</w:t>
            </w:r>
          </w:p>
        </w:tc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21"/>
              </w:numPr>
              <w:tabs>
                <w:tab w:val="clear" w:pos="708"/>
              </w:tabs>
              <w:ind w:left="214" w:hanging="142"/>
              <w:rPr/>
            </w:pPr>
            <w:r>
              <w:rPr/>
              <w:t>pohľadávky za KO a DSO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1.511,69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102,48</w:t>
            </w:r>
          </w:p>
        </w:tc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21"/>
              </w:numPr>
              <w:tabs>
                <w:tab w:val="clear" w:pos="708"/>
              </w:tabs>
              <w:ind w:left="214" w:hanging="142"/>
              <w:rPr/>
            </w:pPr>
            <w:r>
              <w:rPr/>
              <w:t xml:space="preserve">pohľadávky – vúčt.el.energie, vodné 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2.259,20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284,57</w:t>
            </w:r>
          </w:p>
        </w:tc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</w:tbl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  </w:t>
      </w:r>
    </w:p>
    <w:p>
      <w:pPr>
        <w:pStyle w:val="Pismenka"/>
        <w:tabs>
          <w:tab w:val="clear" w:pos="426"/>
        </w:tabs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d) pohľadávky podľa </w:t>
      </w:r>
      <w:r>
        <w:rPr>
          <w:sz w:val="24"/>
          <w:szCs w:val="24"/>
        </w:rPr>
        <w:t>zostatkovej doby splatnosti</w:t>
      </w:r>
      <w:r>
        <w:rPr>
          <w:b w:val="false"/>
          <w:sz w:val="24"/>
          <w:szCs w:val="24"/>
        </w:rPr>
        <w:t xml:space="preserve"> (riadky 048 a 060 súvahy) - tabuľka č.4</w:t>
      </w:r>
    </w:p>
    <w:p>
      <w:pPr>
        <w:pStyle w:val="Pismenka"/>
        <w:tabs>
          <w:tab w:val="clear" w:pos="426"/>
        </w:tabs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ind w:left="36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10064" w:type="dxa"/>
        <w:jc w:val="left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7228"/>
        <w:gridCol w:w="1417"/>
        <w:gridCol w:w="1419"/>
      </w:tblGrid>
      <w:tr>
        <w:trPr/>
        <w:tc>
          <w:tcPr>
            <w:tcW w:w="7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Pohľadávky  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 xml:space="preserve">Zostatok k 31.12.2022 Eur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 xml:space="preserve">Zostatok k 31.12.2023 Eur   </w:t>
            </w:r>
          </w:p>
        </w:tc>
      </w:tr>
      <w:tr>
        <w:trPr/>
        <w:tc>
          <w:tcPr>
            <w:tcW w:w="7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b/>
                <w:b/>
              </w:rPr>
            </w:pPr>
            <w:r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4.468,99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1.745,52</w:t>
            </w:r>
          </w:p>
        </w:tc>
      </w:tr>
      <w:tr>
        <w:trPr/>
        <w:tc>
          <w:tcPr>
            <w:tcW w:w="7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22"/>
              </w:numPr>
              <w:ind w:left="356" w:hanging="284"/>
              <w:rPr/>
            </w:pPr>
            <w:r>
              <w:rPr/>
              <w:t xml:space="preserve">so zostatkovou dobou splatnosti do 1 roka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21"/>
              </w:numPr>
              <w:rPr/>
            </w:pPr>
            <w:r>
              <w:rPr/>
              <w:t>daňové pohľadávky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459,02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1.358,47</w:t>
            </w:r>
          </w:p>
        </w:tc>
      </w:tr>
      <w:tr>
        <w:trPr/>
        <w:tc>
          <w:tcPr>
            <w:tcW w:w="7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21"/>
              </w:numPr>
              <w:rPr/>
            </w:pPr>
            <w:r>
              <w:rPr/>
              <w:t>nedaňové pohľadávky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4.009,97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387,05</w:t>
            </w:r>
          </w:p>
        </w:tc>
      </w:tr>
      <w:tr>
        <w:trPr/>
        <w:tc>
          <w:tcPr>
            <w:tcW w:w="7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22"/>
              </w:numPr>
              <w:ind w:left="356" w:hanging="284"/>
              <w:rPr/>
            </w:pPr>
            <w:r>
              <w:rPr/>
              <w:t>so zostatkovou dobou splatnosti od 1 roka do 5 rokov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21"/>
              </w:numPr>
              <w:rPr/>
            </w:pPr>
            <w:r>
              <w:rPr/>
              <w:t>daňové pohľadávky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21"/>
              </w:numPr>
              <w:rPr/>
            </w:pPr>
            <w:r>
              <w:rPr/>
              <w:t>nedaňové pohľadávky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22"/>
              </w:numPr>
              <w:ind w:left="356" w:hanging="284"/>
              <w:rPr/>
            </w:pPr>
            <w:r>
              <w:rPr/>
              <w:t>so zostatkovou dobou splatnosti nad 5 rokov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</w:tbl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numPr>
          <w:ilvl w:val="0"/>
          <w:numId w:val="8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b w:val="false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false"/>
          <w:sz w:val="24"/>
          <w:szCs w:val="24"/>
        </w:rPr>
        <w:t xml:space="preserve"> </w:t>
      </w:r>
    </w:p>
    <w:p>
      <w:pPr>
        <w:pStyle w:val="Pismenka"/>
        <w:tabs>
          <w:tab w:val="clear" w:pos="426"/>
        </w:tabs>
        <w:ind w:left="284" w:hanging="0"/>
        <w:rPr>
          <w:sz w:val="24"/>
          <w:szCs w:val="24"/>
        </w:rPr>
      </w:pPr>
      <w:r>
        <w:rPr>
          <w:sz w:val="24"/>
          <w:szCs w:val="24"/>
        </w:rPr>
      </w:r>
    </w:p>
    <w:tbl>
      <w:tblPr>
        <w:tblW w:w="10065" w:type="dxa"/>
        <w:jc w:val="left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4962"/>
        <w:gridCol w:w="2407"/>
        <w:gridCol w:w="2696"/>
      </w:tblGrid>
      <w:tr>
        <w:trPr/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Zostatok k 31.12.2022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Zostatok k 31.12.2023</w:t>
            </w:r>
          </w:p>
        </w:tc>
      </w:tr>
      <w:tr>
        <w:trPr/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Pokladnica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 xml:space="preserve">    </w:t>
            </w:r>
            <w:r>
              <w:rPr/>
              <w:t>883,13 Eur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 xml:space="preserve">    </w:t>
            </w:r>
            <w:r>
              <w:rPr/>
              <w:t>336,27 Eur</w:t>
            </w:r>
          </w:p>
        </w:tc>
      </w:tr>
      <w:tr>
        <w:trPr/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Ceniny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 xml:space="preserve">      </w:t>
            </w:r>
            <w:r>
              <w:rPr/>
              <w:t>0,00 Eur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 xml:space="preserve">      </w:t>
            </w:r>
            <w:r>
              <w:rPr/>
              <w:t>0,00 Eur</w:t>
            </w:r>
          </w:p>
        </w:tc>
      </w:tr>
      <w:tr>
        <w:trPr/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Bankové účty -  bežný účet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 xml:space="preserve"> </w:t>
            </w:r>
            <w:r>
              <w:rPr/>
              <w:t>86.168,08 Eur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 xml:space="preserve"> </w:t>
            </w:r>
            <w:r>
              <w:rPr/>
              <w:t>75.914,64 Eur</w:t>
            </w:r>
          </w:p>
        </w:tc>
      </w:tr>
    </w:tbl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Krátkodobým finančným majetkom môže obec voľne disponovať.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8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tbl>
      <w:tblPr>
        <w:tblW w:w="10206" w:type="dxa"/>
        <w:jc w:val="left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5668"/>
        <w:gridCol w:w="2410"/>
        <w:gridCol w:w="2128"/>
      </w:tblGrid>
      <w:tr>
        <w:trPr/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Zostatok k 31.12.2022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Zostatok k 31.12.2023</w:t>
            </w:r>
          </w:p>
        </w:tc>
      </w:tr>
      <w:tr>
        <w:trPr/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1.863,53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2.877,90</w:t>
            </w:r>
          </w:p>
        </w:tc>
      </w:tr>
    </w:tbl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tbl>
      <w:tblPr>
        <w:tblW w:w="9781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1700"/>
        <w:gridCol w:w="1278"/>
        <w:gridCol w:w="1132"/>
        <w:gridCol w:w="1134"/>
        <w:gridCol w:w="1134"/>
        <w:gridCol w:w="1132"/>
        <w:gridCol w:w="2270"/>
      </w:tblGrid>
      <w:tr>
        <w:trPr/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31.12.2020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Eur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Eur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Eur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Eur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31.12.2021</w:t>
            </w:r>
          </w:p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Eur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>
        <w:trPr/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428 - Nevysporiadaný výsledok hosp. minulých rokov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319 106,11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13 770,75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12 481,54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10 743,61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331 138,93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Zrušená zámenná zmluva – zámena pozemkov v r. 2014</w:t>
            </w:r>
          </w:p>
        </w:tc>
      </w:tr>
      <w:tr>
        <w:trPr/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431 - Výsledok hospodárenia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  </w:t>
            </w:r>
            <w:r>
              <w:rPr/>
              <w:t>10 743,61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11 116,94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-10 743,61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  </w:t>
            </w:r>
            <w:r>
              <w:rPr/>
              <w:t>11 116,94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Presun 10 743,61 preúčtovanie HV za rok 2020</w:t>
            </w:r>
          </w:p>
        </w:tc>
      </w:tr>
    </w:tbl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1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>- tabuľka č.6-7</w:t>
      </w:r>
    </w:p>
    <w:p>
      <w:pPr>
        <w:pStyle w:val="Pismenka"/>
        <w:tabs>
          <w:tab w:val="clear" w:pos="426"/>
        </w:tabs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Predpokladaný rok použitia rezerv a opis významných položiek rezerv</w:t>
      </w:r>
    </w:p>
    <w:p>
      <w:pPr>
        <w:pStyle w:val="Pismenka"/>
        <w:tabs>
          <w:tab w:val="clear" w:pos="426"/>
        </w:tabs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9781" w:type="dxa"/>
        <w:jc w:val="left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7231"/>
        <w:gridCol w:w="2549"/>
      </w:tblGrid>
      <w:tr>
        <w:trPr>
          <w:trHeight w:val="260" w:hRule="atLeast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Názov položky / Eur            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>
        <w:trPr/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Obec vykazuje rezervu na  vykonanie auditu účtovnej závierky za r. 2023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2024</w:t>
            </w:r>
          </w:p>
        </w:tc>
      </w:tr>
    </w:tbl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1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Pismenka"/>
        <w:numPr>
          <w:ilvl w:val="0"/>
          <w:numId w:val="12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false"/>
          <w:sz w:val="24"/>
          <w:szCs w:val="24"/>
        </w:rPr>
        <w:t xml:space="preserve"> (riadky 140 a 151 súvahy) - tabuľka č.8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Obec má záväzky v lehote splatnosti voči zamestnancom, sociálnej poisťovni, zdravotným poisťovniam, daňovému úradu, dodávateľom.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9781" w:type="dxa"/>
        <w:jc w:val="left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5385"/>
        <w:gridCol w:w="2551"/>
        <w:gridCol w:w="1845"/>
      </w:tblGrid>
      <w:tr>
        <w:trPr/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Zostatok</w:t>
            </w:r>
          </w:p>
          <w:p>
            <w:pPr>
              <w:pStyle w:val="Normal"/>
              <w:jc w:val="center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 xml:space="preserve">k 31.12.2022 v €  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jc w:val="center"/>
              <w:rPr/>
            </w:pPr>
            <w:r>
              <w:rPr>
                <w:b/>
              </w:rPr>
              <w:t xml:space="preserve">Zostatok k 31.12.2023 v €  </w:t>
            </w:r>
          </w:p>
        </w:tc>
      </w:tr>
      <w:tr>
        <w:trPr/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b/>
                <w:b/>
              </w:rPr>
            </w:pPr>
            <w:r>
              <w:rPr>
                <w:b/>
              </w:rPr>
              <w:t xml:space="preserve">Dlhodobé záväzky z toho: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341,40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356,64</w:t>
            </w:r>
          </w:p>
        </w:tc>
      </w:tr>
      <w:tr>
        <w:trPr/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21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záväzky zo sociálne ho fondu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237,95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305,14364,27</w:t>
            </w:r>
          </w:p>
        </w:tc>
      </w:tr>
      <w:tr>
        <w:trPr/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ListParagraph"/>
              <w:numPr>
                <w:ilvl w:val="0"/>
                <w:numId w:val="21"/>
              </w:numPr>
              <w:rPr/>
            </w:pPr>
            <w:r>
              <w:rPr/>
              <w:t>ostatné záväzky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103,75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51,50227,01</w:t>
            </w:r>
          </w:p>
        </w:tc>
      </w:tr>
      <w:tr>
        <w:trPr/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b/>
                <w:b/>
              </w:rPr>
            </w:pPr>
            <w:r>
              <w:rPr>
                <w:b/>
              </w:rPr>
              <w:t xml:space="preserve">Krátkodobé záväzky z toho: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23.095,25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12.981,1932</w:t>
            </w:r>
          </w:p>
        </w:tc>
      </w:tr>
    </w:tbl>
    <w:p>
      <w:pPr>
        <w:pStyle w:val="Pismenka"/>
        <w:numPr>
          <w:ilvl w:val="0"/>
          <w:numId w:val="12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false"/>
          <w:sz w:val="24"/>
          <w:szCs w:val="24"/>
        </w:rPr>
        <w:t xml:space="preserve"> (riadky 140 a 151 súvahy) - tabuľka č.8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Všetky krátkodobé záväzky obce sú v lehote splatnosti do jedného roka.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>
      <w:pPr>
        <w:pStyle w:val="Pismenka"/>
        <w:tabs>
          <w:tab w:val="clear" w:pos="426"/>
        </w:tabs>
        <w:ind w:left="284" w:hanging="0"/>
        <w:rPr>
          <w:sz w:val="24"/>
          <w:szCs w:val="24"/>
        </w:rPr>
      </w:pPr>
      <w:r>
        <w:rPr>
          <w:sz w:val="24"/>
          <w:szCs w:val="24"/>
        </w:rPr>
      </w:r>
    </w:p>
    <w:tbl>
      <w:tblPr>
        <w:tblW w:w="9781" w:type="dxa"/>
        <w:jc w:val="left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3119"/>
        <w:gridCol w:w="1701"/>
        <w:gridCol w:w="1984"/>
        <w:gridCol w:w="2976"/>
      </w:tblGrid>
      <w:tr>
        <w:trPr/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Hodnota záväzku k 31.12.2022 v €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Hodnota záväzku k 31.12.2023 v €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Opis</w:t>
            </w:r>
          </w:p>
        </w:tc>
      </w:tr>
      <w:tr>
        <w:trPr/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Záväzok voči zamestnancovm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2.670,78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3.217,56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Mzdy za  12/23</w:t>
            </w:r>
          </w:p>
        </w:tc>
      </w:tr>
      <w:tr>
        <w:trPr/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Záväzok voči SP a ZP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1.602,26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1.812,62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Odvod y do poisťovní za 12/23</w:t>
            </w:r>
          </w:p>
        </w:tc>
      </w:tr>
    </w:tbl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1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>
      <w:pPr>
        <w:pStyle w:val="Pismenka"/>
        <w:numPr>
          <w:ilvl w:val="0"/>
          <w:numId w:val="13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dlhodobé bankové úvery a krátkodobé bankové úvery - tabuľka č.9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    </w:t>
      </w:r>
      <w:r>
        <w:rPr>
          <w:b w:val="false"/>
          <w:sz w:val="24"/>
          <w:szCs w:val="24"/>
        </w:rPr>
        <w:t xml:space="preserve">Obec v roku 2020 uzavrela  s  Prima bankou Slovensko, a.s., Źilina Zmluvu   o Municipálnom úvere – Eurofondy (A) č. 09/001/19 na Predfinancovanie NFP – účel „Zmena vykurovania kultúrny dom“ – 94 754,09 Eur a Zmluvu o Municipálnom úvere – Eurofony (A) č. 09/003/19 na Predfinancovanie NFP – účel „Rekonštrukcia kultúrneho domu – zateplenie“ – 139 680,92 Eur. 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Obec z úveru na „Zmenu vykurovania kultúrny dom“ čerpala  600,00 Eur. Z úveru na „Rekonštrukciu kultúrneho domu – zateplenie“ obec čerpala 94 821,42 Eur. </w:t>
      </w:r>
    </w:p>
    <w:p>
      <w:pPr>
        <w:pStyle w:val="Pismenka"/>
        <w:tabs>
          <w:tab w:val="clear" w:pos="426"/>
        </w:tabs>
        <w:ind w:left="0" w:hanging="0"/>
        <w:rPr/>
      </w:pPr>
      <w:r>
        <w:rPr>
          <w:b w:val="false"/>
          <w:sz w:val="24"/>
          <w:szCs w:val="24"/>
        </w:rPr>
        <w:t xml:space="preserve">K zmluvám uzavrela dodatky o predĺžení termínu čerpania úverov, pretože ani v r. 2020 sa nezačalo s investičnými prácami. Obec požiadala PPA o predĺženie termínu čerpať dotácie – významná zmena. V marci 2021 sa uskutočnilo nové verejné obstarávanie na dodávateľa prác. Nové verejné obstarávanie sa predložilo PPA na schválenie, v júli sme doplnili na výzvu požadované doklady. V roku 2021 sa uskutočnila investičná akcia „Rekonštrukcia kultúrneho domu – zateplenie“. </w:t>
      </w:r>
      <w:r>
        <w:rPr>
          <w:b/>
          <w:bCs/>
          <w:sz w:val="24"/>
          <w:szCs w:val="24"/>
        </w:rPr>
        <w:t>K 31.122023 bola nesplatená hodnota úveru vo výške 0,00 Eur.</w:t>
      </w:r>
    </w:p>
    <w:p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false"/>
          <w:sz w:val="24"/>
          <w:szCs w:val="24"/>
        </w:rPr>
        <w:t>dlhodobého bankového úveru alebo krátkodobého bankového úveru – nebolo dohodnuté žiadne zabezpečenie</w:t>
      </w:r>
    </w:p>
    <w:p>
      <w:pPr>
        <w:pStyle w:val="Pismenka"/>
        <w:numPr>
          <w:ilvl w:val="0"/>
          <w:numId w:val="13"/>
        </w:numPr>
        <w:ind w:left="284" w:hanging="284"/>
        <w:rPr/>
      </w:pPr>
      <w:r>
        <w:rPr>
          <w:sz w:val="24"/>
          <w:szCs w:val="24"/>
        </w:rPr>
        <w:t xml:space="preserve">V roku 2020 obec prijala návratnú finančnú výpomoc </w:t>
      </w:r>
      <w:r>
        <w:rPr>
          <w:b w:val="false"/>
          <w:sz w:val="24"/>
          <w:szCs w:val="24"/>
        </w:rPr>
        <w:t xml:space="preserve">z MF SR zo štátnych finančných aktív na výkon samosprávnych funkcií z dôvodu kompenzácie výpadku dane z príjmov FO v roku 2020 v dôsledku pandémie ochorenia COVID -19 vo výške </w:t>
      </w:r>
      <w:r>
        <w:rPr>
          <w:sz w:val="24"/>
          <w:szCs w:val="24"/>
        </w:rPr>
        <w:t>2 533,00 Eur</w:t>
      </w:r>
      <w:r>
        <w:rPr>
          <w:b w:val="false"/>
          <w:sz w:val="24"/>
          <w:szCs w:val="24"/>
        </w:rPr>
        <w:t xml:space="preserve">. Návratná finančná výpomoc z MF SR bola poskytnutá bezúročne. Splatnosť je rozložená na 4 roky,  splatnosť prvej splátky je v roku 2024 a splatnosť poslednej splátky je v roku 2027. </w:t>
      </w:r>
      <w:r>
        <w:rPr>
          <w:b/>
          <w:bCs/>
          <w:sz w:val="24"/>
          <w:szCs w:val="24"/>
        </w:rPr>
        <w:t>Zostatok NFV k 31.12.2023 bola vo výške 0,00 Eur.</w:t>
      </w:r>
    </w:p>
    <w:p>
      <w:pPr>
        <w:pStyle w:val="Pismenka"/>
        <w:tabs>
          <w:tab w:val="clear" w:pos="426"/>
        </w:tabs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numPr>
          <w:ilvl w:val="0"/>
          <w:numId w:val="11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>
      <w:pPr>
        <w:pStyle w:val="Pismenka"/>
        <w:numPr>
          <w:ilvl w:val="0"/>
          <w:numId w:val="14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popis významných položiek časového rozlíšenia výdavkov budúcich období a výnosov budúcich  období v Eur</w:t>
      </w:r>
    </w:p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9498" w:type="dxa"/>
        <w:jc w:val="left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5527"/>
        <w:gridCol w:w="2126"/>
        <w:gridCol w:w="1845"/>
      </w:tblGrid>
      <w:tr>
        <w:trPr/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Zostatok  </w:t>
            </w:r>
          </w:p>
          <w:p>
            <w:pPr>
              <w:pStyle w:val="Normal"/>
              <w:jc w:val="center"/>
              <w:rPr/>
            </w:pPr>
            <w:r>
              <w:rPr>
                <w:b/>
              </w:rPr>
              <w:t>k 31.12.2022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Zostatok  k 31.12.2023</w:t>
            </w:r>
          </w:p>
        </w:tc>
      </w:tr>
      <w:tr>
        <w:trPr/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Výdavky budúcich období spolu z toho: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b/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b/>
                <w:b/>
              </w:rPr>
            </w:pPr>
            <w:r>
              <w:rPr>
                <w:b/>
              </w:rPr>
              <w:t>0</w:t>
            </w:r>
          </w:p>
        </w:tc>
      </w:tr>
      <w:tr>
        <w:trPr/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Výnosy budúcich období spolu z toho: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b/>
              </w:rPr>
              <w:t>574.317,612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b/>
              </w:rPr>
              <w:t xml:space="preserve">735.380,01    </w:t>
            </w:r>
          </w:p>
        </w:tc>
      </w:tr>
      <w:tr>
        <w:trPr/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</w:tbl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14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false"/>
          <w:sz w:val="24"/>
          <w:szCs w:val="24"/>
        </w:rPr>
        <w:t xml:space="preserve"> zaúčtovaných na účte 384 v Eur</w:t>
      </w:r>
    </w:p>
    <w:tbl>
      <w:tblPr>
        <w:tblW w:w="9522" w:type="dxa"/>
        <w:jc w:val="left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5528"/>
        <w:gridCol w:w="2126"/>
        <w:gridCol w:w="1868"/>
      </w:tblGrid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Stav k 31.12.2023</w:t>
            </w:r>
          </w:p>
        </w:tc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Stav k 31.12.2020</w:t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Obecný vodovod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ČOV a kanalizácia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Socha „Drevuliak“ dar od FO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Rekonštrukcia strechy KD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Odberný objekt na vodu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Rekonštrukcia MK s vyznačením cyklotrasy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Viacúčelové ihrisko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Sklad s prekrytou terasou – viacúčelové ihrisko dar od FO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Stavebné úpravy budovy obecného úradu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Osvetlenie – viacúčelové ihrisko – dar od PO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Rekonštrukcia domu smútku – PD – dar od FO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b/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b/>
              </w:rPr>
              <w:t>574.317,612</w:t>
            </w:r>
          </w:p>
        </w:tc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b/>
              </w:rPr>
              <w:t xml:space="preserve">735.380,01    </w:t>
            </w:r>
          </w:p>
        </w:tc>
      </w:tr>
    </w:tbl>
    <w:p>
      <w:pPr>
        <w:pStyle w:val="Pismenka"/>
        <w:tabs>
          <w:tab w:val="clear" w:pos="426"/>
        </w:tabs>
        <w:ind w:left="36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>
      <w:pPr>
        <w:pStyle w:val="Pismenka"/>
        <w:tabs>
          <w:tab w:val="clear" w:pos="426"/>
        </w:tabs>
        <w:ind w:left="36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15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 v Eur</w:t>
      </w:r>
    </w:p>
    <w:tbl>
      <w:tblPr>
        <w:tblW w:w="9498" w:type="dxa"/>
        <w:jc w:val="left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6094"/>
        <w:gridCol w:w="1559"/>
        <w:gridCol w:w="1845"/>
      </w:tblGrid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Suma k 31.12.2022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Suma</w:t>
            </w:r>
          </w:p>
          <w:p>
            <w:pPr>
              <w:pStyle w:val="Normal"/>
              <w:jc w:val="center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k 31.12.2023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numPr>
                <w:ilvl w:val="0"/>
                <w:numId w:val="19"/>
              </w:numPr>
              <w:ind w:left="185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 xml:space="preserve">tržby za vlastné výkony  a tovar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53,15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35,00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602 - Tržby z predaja služieb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53,15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35,00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numPr>
                <w:ilvl w:val="0"/>
                <w:numId w:val="19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zmena stavu vnútroorganizačných zásob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numPr>
                <w:ilvl w:val="0"/>
                <w:numId w:val="19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aktivácia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624 - Aktivácia DHM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numPr>
                <w:ilvl w:val="0"/>
                <w:numId w:val="19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daňové a colné výnosy a výnosy z poplatkov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123.938,97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135.646,93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632 - Daňové výnosy samosprávy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111.330,74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124.461,54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633 - Výnosy z poplatkov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12.608,23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11.185,39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numPr>
                <w:ilvl w:val="0"/>
                <w:numId w:val="19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finančné výnosy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662 - Úroky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668 - Ostatné finančné výnosy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numPr>
                <w:ilvl w:val="0"/>
                <w:numId w:val="19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672 - Náhrady škôd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numPr>
                <w:ilvl w:val="0"/>
                <w:numId w:val="19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 xml:space="preserve">výnosy z transferov a rozpočtových príjmov v obciach, VÚC   a v RO a PO zriadených obcou alebo VÚC                   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31.796,63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42.820,69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693 - Výnosy samosprávy z bežných transferov zo ŠR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2.079,06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4.773,45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694 - Výnosy samosprávy z kapitálových transferov zo ŠR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27.077,88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35.997,56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697 – Výnosy samosprávy z bežných transferov od ostatných subjektov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1.582,95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500,00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numPr>
                <w:ilvl w:val="0"/>
                <w:numId w:val="19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ostatné výnosy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3.501,46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16.607,70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641- Tržby z predaja DNM a DHM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>645- Ostatné pokuty, penále a úroky z omeškania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>648 - Ostatné výnosy</w:t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656,88</w:t>
            </w:r>
          </w:p>
          <w:p>
            <w:pPr>
              <w:pStyle w:val="Normal"/>
              <w:jc w:val="right"/>
              <w:rPr/>
            </w:pPr>
            <w:r>
              <w:rPr/>
            </w:r>
          </w:p>
          <w:p>
            <w:pPr>
              <w:pStyle w:val="Normal"/>
              <w:jc w:val="right"/>
              <w:rPr/>
            </w:pPr>
            <w:r>
              <w:rPr/>
              <w:t>118,94</w:t>
            </w:r>
          </w:p>
          <w:p>
            <w:pPr>
              <w:pStyle w:val="Normal"/>
              <w:jc w:val="right"/>
              <w:rPr/>
            </w:pPr>
            <w:r>
              <w:rPr/>
            </w:r>
          </w:p>
          <w:p>
            <w:pPr>
              <w:pStyle w:val="Normal"/>
              <w:jc w:val="right"/>
              <w:rPr/>
            </w:pPr>
            <w:r>
              <w:rPr/>
              <w:t>2.193,64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8.500,00</w:t>
            </w:r>
          </w:p>
          <w:p>
            <w:pPr>
              <w:pStyle w:val="Normal"/>
              <w:jc w:val="right"/>
              <w:rPr/>
            </w:pPr>
            <w:r>
              <w:rPr/>
            </w:r>
          </w:p>
          <w:p>
            <w:pPr>
              <w:pStyle w:val="Normal"/>
              <w:jc w:val="right"/>
              <w:rPr/>
            </w:pPr>
            <w:r>
              <w:rPr/>
              <w:t>2,50</w:t>
            </w:r>
          </w:p>
          <w:p>
            <w:pPr>
              <w:pStyle w:val="Normal"/>
              <w:jc w:val="right"/>
              <w:rPr/>
            </w:pPr>
            <w:r>
              <w:rPr/>
            </w:r>
          </w:p>
          <w:p>
            <w:pPr>
              <w:pStyle w:val="Normal"/>
              <w:jc w:val="right"/>
              <w:rPr/>
            </w:pPr>
            <w:r>
              <w:rPr/>
              <w:t>8.105,20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numPr>
                <w:ilvl w:val="0"/>
                <w:numId w:val="19"/>
              </w:numPr>
              <w:ind w:left="185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zúčtovanie rezerv, opravných položiek, časového rozlíšenia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510,00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653 - Zúčtovanie ostatných rezerv z prevádzkovej činnosti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510,00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</w:tr>
    </w:tbl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left="284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ListParagraph"/>
        <w:ind w:left="678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ListParagraph"/>
        <w:ind w:left="678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15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 v Eur</w:t>
      </w:r>
    </w:p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9498" w:type="dxa"/>
        <w:jc w:val="left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6094"/>
        <w:gridCol w:w="1559"/>
        <w:gridCol w:w="1845"/>
      </w:tblGrid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Suma k 31.12.2022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Suma </w:t>
            </w:r>
          </w:p>
          <w:p>
            <w:pPr>
              <w:pStyle w:val="Normal"/>
              <w:jc w:val="center"/>
              <w:rPr/>
            </w:pPr>
            <w:r>
              <w:rPr>
                <w:b/>
              </w:rPr>
              <w:t>k 31.12.2023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numPr>
                <w:ilvl w:val="0"/>
                <w:numId w:val="20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spotrebované nákupy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11.787,05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17.020,03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501 - Spotreba materiálu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6.663,20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8.527,60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502 – Spotreba energie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5.123,85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8.492,43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numPr>
                <w:ilvl w:val="0"/>
                <w:numId w:val="0"/>
              </w:numPr>
              <w:ind w:left="720" w:hanging="0"/>
              <w:rPr/>
            </w:pPr>
            <w:r>
              <w:rPr>
                <w:b/>
              </w:rPr>
              <w:t>B)  služby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23.604,20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23.939,91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511 - Opravy a udržiavanie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286,00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498,00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512 - Cestovné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709,18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1.201,34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513 - Náklady na reprezentáciu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486,58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208,51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518 - Ostatné služby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22.122,46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22.032,06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numPr>
                <w:ilvl w:val="0"/>
                <w:numId w:val="20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osobné náklady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58.990,90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58.158,08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521 – Mzdové náklady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42.460,49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41.806,61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524 – Zákonné sociálne náklady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14.365,99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14.349,54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527 – Zákonné sociálne náklady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2.164,42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2.001,93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numPr>
                <w:ilvl w:val="0"/>
                <w:numId w:val="20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dane a poplatky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178,81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1.474,10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532 – Daň z nehnuteľností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538 – Ostatné dane a poplatky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178,81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1.474,10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numPr>
                <w:ilvl w:val="0"/>
                <w:numId w:val="20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 xml:space="preserve">odpisy, rezervy a opravné položky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36.262,73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41.171,85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551 – Odpisy  DNM a DHM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27.602,23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34.102,98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553 – Tvorba ostatných rezerv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1.340,00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558 – Tvorba ostatných opravných položiek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7.320,58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7.142,05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numPr>
                <w:ilvl w:val="0"/>
                <w:numId w:val="20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3.051,58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7.142,05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561 – Predané CP a podiely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562 – Úroky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1.255,97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6.479,45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568 – Ostatné finančné náklady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1.795,59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662,60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numPr>
                <w:ilvl w:val="0"/>
                <w:numId w:val="20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mimoriadne náklady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572 – Škody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numPr>
                <w:ilvl w:val="0"/>
                <w:numId w:val="20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náklady na transfery a náklady z odvodov príjmov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2.391,84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2.670,43,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rPr/>
            </w:pPr>
            <w:r>
              <w:rPr/>
              <w:t>585 – Náklady na transfery z rozpočtu obce ostatným subjektom VS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47,94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rPr/>
            </w:pPr>
            <w:r>
              <w:rPr/>
              <w:t>586 -  náklady na transfery z rozpočtu obce subjektom mimo VS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2.243,90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2.110,43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numPr>
                <w:ilvl w:val="0"/>
                <w:numId w:val="20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3.709,09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4.748,25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rPr/>
            </w:pPr>
            <w:r>
              <w:rPr/>
              <w:t xml:space="preserve">548 –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3.709,09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4.748,25</w:t>
            </w:r>
          </w:p>
        </w:tc>
      </w:tr>
      <w:tr>
        <w:trPr/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20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dane z príjmov</w:t>
            </w:r>
          </w:p>
          <w:p>
            <w:pPr>
              <w:pStyle w:val="Normal"/>
              <w:rPr/>
            </w:pPr>
            <w:r>
              <w:rPr/>
              <w:t xml:space="preserve">591 - Splatná daň z príjmov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</w:tr>
    </w:tbl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left="284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ListParagraph"/>
        <w:ind w:left="678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6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9498" w:type="dxa"/>
        <w:jc w:val="left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4109"/>
        <w:gridCol w:w="3119"/>
        <w:gridCol w:w="2270"/>
      </w:tblGrid>
      <w:tr>
        <w:trPr/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v Eur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>
        <w:trPr/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/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majetok - OTE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9 527,87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  <w:tr>
        <w:trPr/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Kontajnery čierne plastnové  1000 l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2 332,80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  <w:tr>
        <w:trPr/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Popolnice plastové 110 l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65,72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  <w:tr>
        <w:trPr/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Známky pre psov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91,08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</w:tbl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>
      <w:pPr>
        <w:pStyle w:val="Pismenka"/>
        <w:tabs>
          <w:tab w:val="clear" w:pos="426"/>
        </w:tabs>
        <w:ind w:left="36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17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>
      <w:pPr>
        <w:pStyle w:val="Normal"/>
        <w:ind w:left="284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Obec je v súdnych sporoch: </w:t>
      </w:r>
    </w:p>
    <w:p>
      <w:pPr>
        <w:pStyle w:val="ListParagraph"/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vyvlastňovacie konanie pre stavbu „Miestna komunikácia Nižná Boca“, kde bolo vydané rozhodnutie Okresným úradom v Źiline v prospech obce, ale proti rozhodnutiu bolo prehratou stranou podané odvolanie, Ministerstvom dopravy a výstavby SR bolo vydané rozhodnutie v prospech obce, bol podaný protest prokurátora, ktorému  minister Dopravy a výstavby vyhovel a zrušil rozhodnutie Ministerstva DaV SR, čím sa rozhodnutie o vyvlastnení zrušuje a bude nové konanie od úrovne Okresného úradu v Žiline, odbor výstavby a bytovej politiky. </w:t>
      </w:r>
    </w:p>
    <w:p>
      <w:pPr>
        <w:pStyle w:val="Normal"/>
        <w:ind w:left="284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>
      <w:pPr>
        <w:pStyle w:val="Pismenka"/>
        <w:tabs>
          <w:tab w:val="clear" w:pos="426"/>
        </w:tabs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Textová časť k tabuľke č.12-14:</w:t>
      </w:r>
    </w:p>
    <w:p>
      <w:pPr>
        <w:pStyle w:val="Normal"/>
        <w:jc w:val="both"/>
        <w:rPr/>
      </w:pPr>
      <w:r>
        <w:rPr>
          <w:sz w:val="24"/>
          <w:szCs w:val="24"/>
        </w:rPr>
        <w:t>Rozpočet obce bol schválený obecným zastupiteľstvom dňa</w:t>
      </w:r>
      <w:r>
        <w:rPr>
          <w:color w:val="auto"/>
          <w:sz w:val="24"/>
          <w:szCs w:val="24"/>
        </w:rPr>
        <w:t xml:space="preserve"> </w:t>
      </w:r>
      <w:r>
        <w:rPr>
          <w:color w:val="auto"/>
          <w:sz w:val="24"/>
          <w:szCs w:val="24"/>
        </w:rPr>
        <w:t>14.12.2022</w:t>
      </w:r>
      <w:r>
        <w:rPr>
          <w:color w:val="auto"/>
          <w:sz w:val="24"/>
          <w:szCs w:val="24"/>
        </w:rPr>
        <w:t xml:space="preserve">  uz</w:t>
      </w:r>
      <w:r>
        <w:rPr>
          <w:sz w:val="24"/>
          <w:szCs w:val="24"/>
        </w:rPr>
        <w:t>nesením OZ.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7 - 8 zákona č.583/2004 Z.z. o rozpočtových pravidlách územnej samosprávy a o zmene a doplnení niektorých zákonov v z.n.p. za bežné účtovné obdobie a bezprostredne predchádzajúce účtovné obdobie - tabuľka č.15.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>
      <w:pPr>
        <w:pStyle w:val="Normal"/>
        <w:jc w:val="center"/>
        <w:rPr>
          <w:b/>
          <w:b/>
          <w:sz w:val="28"/>
        </w:rPr>
      </w:pPr>
      <w:r>
        <w:rPr>
          <w:b/>
          <w:sz w:val="28"/>
        </w:rPr>
      </w:r>
    </w:p>
    <w:p>
      <w:pPr>
        <w:pStyle w:val="Normal"/>
        <w:jc w:val="both"/>
        <w:rPr/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2023</w:t>
      </w:r>
      <w:r>
        <w:rPr>
          <w:sz w:val="24"/>
          <w:szCs w:val="24"/>
        </w:rPr>
        <w:t xml:space="preserve"> nenastali také udalosti, ktoré by si vyžadovali zverejnenie alebo vykázanie v účtovnej závierke za rok 2023.</w:t>
      </w:r>
    </w:p>
    <w:p>
      <w:pPr>
        <w:pStyle w:val="Normal"/>
        <w:spacing w:lineRule="auto" w:line="360"/>
        <w:rPr>
          <w:b/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8" w:top="1417" w:footer="708" w:bottom="1417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01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451552394"/>
    </w:sdtPr>
    <w:sdtContent>
      <w:p>
        <w:pPr>
          <w:pStyle w:val="Pta"/>
          <w:jc w:val="right"/>
          <w:rPr/>
        </w:pPr>
        <w:r>
          <w:rPr/>
          <w:fldChar w:fldCharType="begin"/>
        </w:r>
        <w:r>
          <w:rPr/>
          <w:instrText> PAGE </w:instrText>
        </w:r>
        <w:r>
          <w:rPr/>
          <w:fldChar w:fldCharType="separate"/>
        </w:r>
        <w:r>
          <w:rPr/>
          <w:t>11</w:t>
        </w:r>
        <w:r>
          <w:rPr/>
          <w:fldChar w:fldCharType="end"/>
        </w:r>
      </w:p>
    </w:sdtContent>
  </w:sdt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text/>
      <w:id w:val="1815542341"/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alias w:val="Nadpis"/>
    </w:sdtPr>
    <w:sdtContent>
      <w:p>
        <w:pPr>
          <w:pStyle w:val="Normal"/>
          <w:pBdr>
            <w:bottom w:val="thickThinSmallGap" w:sz="24" w:space="1" w:color="622423"/>
          </w:pBdr>
          <w:jc w:val="center"/>
          <w:rPr/>
        </w:pPr>
        <w:r>
          <w:rPr>
            <w:rFonts w:eastAsia="" w:cs="" w:ascii="Cambria" w:hAnsi="Cambria" w:asciiTheme="majorHAnsi" w:cstheme="majorBidi" w:eastAsiaTheme="majorEastAsia" w:hAnsiTheme="majorHAnsi"/>
            <w:b/>
            <w:i/>
            <w:sz w:val="36"/>
            <w:szCs w:val="24"/>
          </w:rPr>
          <w:t>Poznámky k 31.12.2023</w:t>
        </w:r>
      </w:p>
    </w:sdtContent>
  </w:sdt>
  <w:p>
    <w:pPr>
      <w:pStyle w:val="Hlavika"/>
      <w:rPr>
        <w:i/>
        <w:i/>
        <w:sz w:val="24"/>
        <w:szCs w:val="24"/>
      </w:rPr>
    </w:pPr>
    <w:r>
      <w:rPr>
        <w:i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b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 w:val="fals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 w:val="fals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 w:val="fals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 w:val="fals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 w:val="fals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 w:val="fals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1"/>
      <w:numFmt w:val="decimal"/>
      <w:lvlText w:val="%1."/>
      <w:lvlJc w:val="left"/>
      <w:pPr>
        <w:ind w:left="720" w:hanging="360"/>
      </w:pPr>
      <w:rPr>
        <w:sz w:val="24"/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 w:val="fals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 w:val="fals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 w:val="fals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lvl w:ilvl="0">
      <w:start w:val="1"/>
      <w:numFmt w:val="decimal"/>
      <w:lvlText w:val="%1."/>
      <w:lvlJc w:val="left"/>
      <w:pPr>
        <w:ind w:left="720" w:hanging="360"/>
      </w:pPr>
      <w:rPr>
        <w:sz w:val="24"/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lvl w:ilvl="0">
      <w:start w:val="1"/>
      <w:numFmt w:val="decimal"/>
      <w:lvlText w:val="%1."/>
      <w:lvlJc w:val="left"/>
      <w:pPr>
        <w:ind w:left="720" w:hanging="360"/>
      </w:pPr>
      <w:rPr>
        <w:sz w:val="24"/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lvl w:ilvl="0">
      <w:start w:val="1"/>
      <w:numFmt w:val="decimal"/>
      <w:lvlText w:val="%1."/>
      <w:lvlJc w:val="left"/>
      <w:pPr>
        <w:ind w:left="720" w:hanging="360"/>
      </w:pPr>
      <w:rPr>
        <w:sz w:val="24"/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lvl w:ilvl="0">
      <w:start w:val="1"/>
      <w:numFmt w:val="bullet"/>
      <w:lvlText w:val="-"/>
      <w:lvlJc w:val="left"/>
      <w:pPr>
        <w:ind w:left="678" w:hanging="360"/>
      </w:pPr>
      <w:rPr>
        <w:rFonts w:ascii="Times New Roman" w:hAnsi="Times New Roman" w:cs="Times New Roman" w:hint="default"/>
        <w:sz w:val="24"/>
        <w:b/>
        <w:rFonts w:cs="Times New Roman"/>
      </w:rPr>
    </w:lvl>
    <w:lvl w:ilvl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18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838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278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998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38" w:hanging="360"/>
      </w:pPr>
      <w:rPr>
        <w:rFonts w:ascii="Wingdings" w:hAnsi="Wingdings" w:cs="Wingdings" w:hint="default"/>
        <w:rFonts w:cs="Wingdings"/>
      </w:rPr>
    </w:lvl>
  </w:abstractNum>
  <w:abstractNum w:abstractNumId="19">
    <w:lvl w:ilvl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rFonts w:cs="Times New Roman"/>
        <w:color w:val="FF000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rFonts w:cs="Wingdings"/>
      </w:rPr>
    </w:lvl>
  </w:abstractNum>
  <w:abstractNum w:abstractNumId="22">
    <w:lvl w:ilvl="0">
      <w:start w:val="1"/>
      <w:numFmt w:val="lowerLetter"/>
      <w:lvlText w:val="%1)"/>
      <w:lvlJc w:val="left"/>
      <w:pPr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</w:numbering>
</file>

<file path=word/settings.xml><?xml version="1.0" encoding="utf-8"?>
<w:settings xmlns:w="http://schemas.openxmlformats.org/wordprocessingml/2006/main">
  <w:zoom w:percent="89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uiPriority="10" w:semiHidden="0" w:unhideWhenUsed="0" w:qFormat="1"/>
    <w:lsdException w:name="Default Paragraph Font" w:uiPriority="1"/>
    <w:lsdException w:name="Body Text" w:uiPriority="0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Balloon Text" w:uiPriority="0"/>
    <w:lsdException w:name="Table Grid" w:uiPriority="0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f3761a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PtaChar" w:customStyle="1">
    <w:name w:val="Päta Char"/>
    <w:basedOn w:val="DefaultParagraphFont"/>
    <w:link w:val="Pta"/>
    <w:uiPriority w:val="99"/>
    <w:qFormat/>
    <w:rsid w:val="00f3761a"/>
    <w:rPr>
      <w:rFonts w:ascii="Times New Roman" w:hAnsi="Times New Roman" w:eastAsia="Times New Roman" w:cs="Times New Roman"/>
      <w:sz w:val="20"/>
      <w:szCs w:val="20"/>
      <w:lang w:eastAsia="sk-SK"/>
    </w:rPr>
  </w:style>
  <w:style w:type="character" w:styleId="TextbublinyChar" w:customStyle="1">
    <w:name w:val="Text bubliny Char"/>
    <w:basedOn w:val="DefaultParagraphFont"/>
    <w:link w:val="Textbubliny"/>
    <w:semiHidden/>
    <w:qFormat/>
    <w:rsid w:val="00f3761a"/>
    <w:rPr>
      <w:rFonts w:ascii="Tahoma" w:hAnsi="Tahoma" w:eastAsia="Times New Roman" w:cs="Tahoma"/>
      <w:sz w:val="16"/>
      <w:szCs w:val="16"/>
      <w:lang w:eastAsia="sk-SK"/>
    </w:rPr>
  </w:style>
  <w:style w:type="character" w:styleId="Pagenumber">
    <w:name w:val="page number"/>
    <w:basedOn w:val="DefaultParagraphFont"/>
    <w:qFormat/>
    <w:rsid w:val="00f3761a"/>
    <w:rPr/>
  </w:style>
  <w:style w:type="character" w:styleId="ZkladntextChar" w:customStyle="1">
    <w:name w:val="Základný text Char"/>
    <w:basedOn w:val="DefaultParagraphFont"/>
    <w:link w:val="Zkladntext"/>
    <w:qFormat/>
    <w:rsid w:val="00f3761a"/>
    <w:rPr>
      <w:rFonts w:ascii="Times New Roman" w:hAnsi="Times New Roman" w:eastAsia="Times New Roman" w:cs="Times New Roman"/>
      <w:sz w:val="18"/>
      <w:szCs w:val="20"/>
      <w:lang w:eastAsia="sk-SK"/>
    </w:rPr>
  </w:style>
  <w:style w:type="character" w:styleId="HlavikaChar" w:customStyle="1">
    <w:name w:val="Hlavička Char"/>
    <w:basedOn w:val="DefaultParagraphFont"/>
    <w:link w:val="Hlavika"/>
    <w:uiPriority w:val="99"/>
    <w:qFormat/>
    <w:rsid w:val="00f3761a"/>
    <w:rPr>
      <w:rFonts w:ascii="Times New Roman" w:hAnsi="Times New Roman" w:eastAsia="Times New Roman" w:cs="Times New Roman"/>
      <w:sz w:val="20"/>
      <w:szCs w:val="20"/>
      <w:lang w:eastAsia="sk-SK"/>
    </w:rPr>
  </w:style>
  <w:style w:type="character" w:styleId="ListLabel1">
    <w:name w:val="ListLabel 1"/>
    <w:qFormat/>
    <w:rPr>
      <w:rFonts w:eastAsia="Times New Roman" w:cs="Times New Roman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cs="Courier New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b/>
      <w:sz w:val="24"/>
      <w:szCs w:val="24"/>
    </w:rPr>
  </w:style>
  <w:style w:type="character" w:styleId="ListLabel6">
    <w:name w:val="ListLabel 6"/>
    <w:qFormat/>
    <w:rPr>
      <w:b w:val="false"/>
      <w:sz w:val="24"/>
    </w:rPr>
  </w:style>
  <w:style w:type="character" w:styleId="ListLabel7">
    <w:name w:val="ListLabel 7"/>
    <w:qFormat/>
    <w:rPr>
      <w:b w:val="false"/>
      <w:sz w:val="24"/>
    </w:rPr>
  </w:style>
  <w:style w:type="character" w:styleId="ListLabel8">
    <w:name w:val="ListLabel 8"/>
    <w:qFormat/>
    <w:rPr>
      <w:b w:val="false"/>
      <w:sz w:val="24"/>
    </w:rPr>
  </w:style>
  <w:style w:type="character" w:styleId="ListLabel9">
    <w:name w:val="ListLabel 9"/>
    <w:qFormat/>
    <w:rPr>
      <w:b w:val="false"/>
      <w:sz w:val="24"/>
    </w:rPr>
  </w:style>
  <w:style w:type="character" w:styleId="ListLabel10">
    <w:name w:val="ListLabel 10"/>
    <w:qFormat/>
    <w:rPr>
      <w:b w:val="false"/>
    </w:rPr>
  </w:style>
  <w:style w:type="character" w:styleId="ListLabel11">
    <w:name w:val="ListLabel 11"/>
    <w:qFormat/>
    <w:rPr>
      <w:b w:val="false"/>
      <w:sz w:val="24"/>
    </w:rPr>
  </w:style>
  <w:style w:type="character" w:styleId="ListLabel12">
    <w:name w:val="ListLabel 12"/>
    <w:qFormat/>
    <w:rPr>
      <w:b w:val="false"/>
      <w:sz w:val="24"/>
    </w:rPr>
  </w:style>
  <w:style w:type="character" w:styleId="ListLabel13">
    <w:name w:val="ListLabel 13"/>
    <w:qFormat/>
    <w:rPr>
      <w:b/>
      <w:sz w:val="24"/>
    </w:rPr>
  </w:style>
  <w:style w:type="character" w:styleId="ListLabel14">
    <w:name w:val="ListLabel 14"/>
    <w:qFormat/>
    <w:rPr>
      <w:b w:val="false"/>
      <w:sz w:val="24"/>
    </w:rPr>
  </w:style>
  <w:style w:type="character" w:styleId="ListLabel15">
    <w:name w:val="ListLabel 15"/>
    <w:qFormat/>
    <w:rPr>
      <w:b w:val="false"/>
      <w:sz w:val="24"/>
    </w:rPr>
  </w:style>
  <w:style w:type="character" w:styleId="ListLabel16">
    <w:name w:val="ListLabel 16"/>
    <w:qFormat/>
    <w:rPr>
      <w:b w:val="false"/>
      <w:sz w:val="24"/>
    </w:rPr>
  </w:style>
  <w:style w:type="character" w:styleId="ListLabel17">
    <w:name w:val="ListLabel 17"/>
    <w:qFormat/>
    <w:rPr>
      <w:b/>
      <w:sz w:val="24"/>
    </w:rPr>
  </w:style>
  <w:style w:type="character" w:styleId="ListLabel18">
    <w:name w:val="ListLabel 18"/>
    <w:qFormat/>
    <w:rPr>
      <w:rFonts w:eastAsia="Times New Roman" w:cs="Times New Roman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character" w:styleId="ListLabel21">
    <w:name w:val="ListLabel 21"/>
    <w:qFormat/>
    <w:rPr>
      <w:rFonts w:cs="Courier New"/>
    </w:rPr>
  </w:style>
  <w:style w:type="character" w:styleId="ListLabel22">
    <w:name w:val="ListLabel 22"/>
    <w:qFormat/>
    <w:rPr>
      <w:b/>
      <w:sz w:val="24"/>
    </w:rPr>
  </w:style>
  <w:style w:type="character" w:styleId="ListLabel23">
    <w:name w:val="ListLabel 23"/>
    <w:qFormat/>
    <w:rPr>
      <w:b/>
      <w:sz w:val="24"/>
    </w:rPr>
  </w:style>
  <w:style w:type="character" w:styleId="ListLabel24">
    <w:name w:val="ListLabel 24"/>
    <w:qFormat/>
    <w:rPr>
      <w:b w:val="false"/>
    </w:rPr>
  </w:style>
  <w:style w:type="character" w:styleId="ListLabel25">
    <w:name w:val="ListLabel 25"/>
    <w:qFormat/>
    <w:rPr>
      <w:b w:val="false"/>
    </w:rPr>
  </w:style>
  <w:style w:type="character" w:styleId="ListLabel26">
    <w:name w:val="ListLabel 26"/>
    <w:qFormat/>
    <w:rPr>
      <w:b/>
    </w:rPr>
  </w:style>
  <w:style w:type="character" w:styleId="ListLabel27">
    <w:name w:val="ListLabel 27"/>
    <w:qFormat/>
    <w:rPr>
      <w:b w:val="false"/>
    </w:rPr>
  </w:style>
  <w:style w:type="character" w:styleId="ListLabel28">
    <w:name w:val="ListLabel 28"/>
    <w:qFormat/>
    <w:rPr>
      <w:b w:val="false"/>
    </w:rPr>
  </w:style>
  <w:style w:type="character" w:styleId="ListLabel29">
    <w:name w:val="ListLabel 29"/>
    <w:qFormat/>
    <w:rPr>
      <w:rFonts w:eastAsia="Times New Roman" w:cs="Times New Roman"/>
      <w:b/>
      <w:sz w:val="24"/>
    </w:rPr>
  </w:style>
  <w:style w:type="character" w:styleId="ListLabel30">
    <w:name w:val="ListLabel 30"/>
    <w:qFormat/>
    <w:rPr>
      <w:rFonts w:cs="Courier New"/>
    </w:rPr>
  </w:style>
  <w:style w:type="character" w:styleId="ListLabel31">
    <w:name w:val="ListLabel 31"/>
    <w:qFormat/>
    <w:rPr>
      <w:rFonts w:cs="Courier New"/>
    </w:rPr>
  </w:style>
  <w:style w:type="character" w:styleId="ListLabel32">
    <w:name w:val="ListLabel 32"/>
    <w:qFormat/>
    <w:rPr>
      <w:rFonts w:cs="Courier New"/>
    </w:rPr>
  </w:style>
  <w:style w:type="character" w:styleId="ListLabel33">
    <w:name w:val="ListLabel 33"/>
    <w:qFormat/>
    <w:rPr>
      <w:b/>
    </w:rPr>
  </w:style>
  <w:style w:type="character" w:styleId="ListLabel34">
    <w:name w:val="ListLabel 34"/>
    <w:qFormat/>
    <w:rPr>
      <w:color w:val="000000"/>
    </w:rPr>
  </w:style>
  <w:style w:type="character" w:styleId="ListLabel35">
    <w:name w:val="ListLabel 35"/>
    <w:qFormat/>
    <w:rPr>
      <w:b w:val="false"/>
      <w:color w:val="auto"/>
    </w:rPr>
  </w:style>
  <w:style w:type="character" w:styleId="ListLabel36">
    <w:name w:val="ListLabel 36"/>
    <w:qFormat/>
    <w:rPr>
      <w:color w:val="000000"/>
    </w:rPr>
  </w:style>
  <w:style w:type="character" w:styleId="ListLabel37">
    <w:name w:val="ListLabel 37"/>
    <w:qFormat/>
    <w:rPr>
      <w:b w:val="false"/>
    </w:rPr>
  </w:style>
  <w:style w:type="character" w:styleId="ListLabel38">
    <w:name w:val="ListLabel 38"/>
    <w:qFormat/>
    <w:rPr>
      <w:b w:val="false"/>
    </w:rPr>
  </w:style>
  <w:style w:type="character" w:styleId="ListLabel39">
    <w:name w:val="ListLabel 39"/>
    <w:qFormat/>
    <w:rPr>
      <w:rFonts w:eastAsia="Times New Roman" w:cs="Times New Roman"/>
      <w:color w:val="FF0000"/>
    </w:rPr>
  </w:style>
  <w:style w:type="character" w:styleId="ListLabel40">
    <w:name w:val="ListLabel 40"/>
    <w:qFormat/>
    <w:rPr>
      <w:rFonts w:cs="Courier New"/>
    </w:rPr>
  </w:style>
  <w:style w:type="character" w:styleId="ListLabel41">
    <w:name w:val="ListLabel 41"/>
    <w:qFormat/>
    <w:rPr>
      <w:rFonts w:cs="Courier New"/>
    </w:rPr>
  </w:style>
  <w:style w:type="character" w:styleId="ListLabel42">
    <w:name w:val="ListLabel 42"/>
    <w:qFormat/>
    <w:rPr>
      <w:rFonts w:cs="Courier New"/>
    </w:rPr>
  </w:style>
  <w:style w:type="character" w:styleId="ListLabel43">
    <w:name w:val="ListLabel 43"/>
    <w:qFormat/>
    <w:rPr>
      <w:b w:val="false"/>
    </w:rPr>
  </w:style>
  <w:style w:type="character" w:styleId="ListLabel44">
    <w:name w:val="ListLabel 44"/>
    <w:qFormat/>
    <w:rPr>
      <w:b/>
      <w:sz w:val="24"/>
      <w:szCs w:val="24"/>
    </w:rPr>
  </w:style>
  <w:style w:type="character" w:styleId="ListLabel45">
    <w:name w:val="ListLabel 45"/>
    <w:qFormat/>
    <w:rPr>
      <w:b w:val="false"/>
      <w:sz w:val="24"/>
    </w:rPr>
  </w:style>
  <w:style w:type="character" w:styleId="ListLabel46">
    <w:name w:val="ListLabel 46"/>
    <w:qFormat/>
    <w:rPr>
      <w:b w:val="false"/>
      <w:sz w:val="24"/>
    </w:rPr>
  </w:style>
  <w:style w:type="character" w:styleId="ListLabel47">
    <w:name w:val="ListLabel 47"/>
    <w:qFormat/>
    <w:rPr>
      <w:b w:val="false"/>
      <w:sz w:val="24"/>
    </w:rPr>
  </w:style>
  <w:style w:type="character" w:styleId="ListLabel48">
    <w:name w:val="ListLabel 48"/>
    <w:qFormat/>
    <w:rPr>
      <w:b w:val="false"/>
      <w:sz w:val="24"/>
    </w:rPr>
  </w:style>
  <w:style w:type="character" w:styleId="ListLabel49">
    <w:name w:val="ListLabel 49"/>
    <w:qFormat/>
    <w:rPr>
      <w:b w:val="false"/>
      <w:sz w:val="24"/>
    </w:rPr>
  </w:style>
  <w:style w:type="character" w:styleId="ListLabel50">
    <w:name w:val="ListLabel 50"/>
    <w:qFormat/>
    <w:rPr>
      <w:b w:val="false"/>
      <w:sz w:val="24"/>
    </w:rPr>
  </w:style>
  <w:style w:type="character" w:styleId="ListLabel51">
    <w:name w:val="ListLabel 51"/>
    <w:qFormat/>
    <w:rPr>
      <w:b/>
      <w:sz w:val="24"/>
    </w:rPr>
  </w:style>
  <w:style w:type="character" w:styleId="ListLabel52">
    <w:name w:val="ListLabel 52"/>
    <w:qFormat/>
    <w:rPr>
      <w:b w:val="false"/>
      <w:sz w:val="24"/>
    </w:rPr>
  </w:style>
  <w:style w:type="character" w:styleId="ListLabel53">
    <w:name w:val="ListLabel 53"/>
    <w:qFormat/>
    <w:rPr>
      <w:b w:val="false"/>
      <w:sz w:val="24"/>
    </w:rPr>
  </w:style>
  <w:style w:type="character" w:styleId="ListLabel54">
    <w:name w:val="ListLabel 54"/>
    <w:qFormat/>
    <w:rPr>
      <w:b w:val="false"/>
      <w:sz w:val="24"/>
    </w:rPr>
  </w:style>
  <w:style w:type="character" w:styleId="ListLabel55">
    <w:name w:val="ListLabel 55"/>
    <w:qFormat/>
    <w:rPr>
      <w:b/>
      <w:sz w:val="24"/>
    </w:rPr>
  </w:style>
  <w:style w:type="character" w:styleId="ListLabel56">
    <w:name w:val="ListLabel 56"/>
    <w:qFormat/>
    <w:rPr>
      <w:b/>
      <w:sz w:val="24"/>
    </w:rPr>
  </w:style>
  <w:style w:type="character" w:styleId="ListLabel57">
    <w:name w:val="ListLabel 57"/>
    <w:qFormat/>
    <w:rPr>
      <w:b/>
      <w:sz w:val="24"/>
    </w:rPr>
  </w:style>
  <w:style w:type="character" w:styleId="ListLabel58">
    <w:name w:val="ListLabel 58"/>
    <w:qFormat/>
    <w:rPr>
      <w:rFonts w:cs="Times New Roman"/>
      <w:b/>
      <w:sz w:val="24"/>
    </w:rPr>
  </w:style>
  <w:style w:type="character" w:styleId="ListLabel59">
    <w:name w:val="ListLabel 59"/>
    <w:qFormat/>
    <w:rPr>
      <w:rFonts w:cs="Courier New"/>
    </w:rPr>
  </w:style>
  <w:style w:type="character" w:styleId="ListLabel60">
    <w:name w:val="ListLabel 60"/>
    <w:qFormat/>
    <w:rPr>
      <w:rFonts w:cs="Wingdings"/>
    </w:rPr>
  </w:style>
  <w:style w:type="character" w:styleId="ListLabel61">
    <w:name w:val="ListLabel 61"/>
    <w:qFormat/>
    <w:rPr>
      <w:rFonts w:cs="Symbol"/>
    </w:rPr>
  </w:style>
  <w:style w:type="character" w:styleId="ListLabel62">
    <w:name w:val="ListLabel 62"/>
    <w:qFormat/>
    <w:rPr>
      <w:rFonts w:cs="Courier New"/>
    </w:rPr>
  </w:style>
  <w:style w:type="character" w:styleId="ListLabel63">
    <w:name w:val="ListLabel 63"/>
    <w:qFormat/>
    <w:rPr>
      <w:rFonts w:cs="Wingdings"/>
    </w:rPr>
  </w:style>
  <w:style w:type="character" w:styleId="ListLabel64">
    <w:name w:val="ListLabel 64"/>
    <w:qFormat/>
    <w:rPr>
      <w:rFonts w:cs="Symbol"/>
    </w:rPr>
  </w:style>
  <w:style w:type="character" w:styleId="ListLabel65">
    <w:name w:val="ListLabel 65"/>
    <w:qFormat/>
    <w:rPr>
      <w:rFonts w:cs="Courier New"/>
    </w:rPr>
  </w:style>
  <w:style w:type="character" w:styleId="ListLabel66">
    <w:name w:val="ListLabel 66"/>
    <w:qFormat/>
    <w:rPr>
      <w:rFonts w:cs="Wingdings"/>
    </w:rPr>
  </w:style>
  <w:style w:type="character" w:styleId="ListLabel67">
    <w:name w:val="ListLabel 67"/>
    <w:qFormat/>
    <w:rPr>
      <w:b/>
    </w:rPr>
  </w:style>
  <w:style w:type="character" w:styleId="ListLabel68">
    <w:name w:val="ListLabel 68"/>
    <w:qFormat/>
    <w:rPr>
      <w:rFonts w:cs="Times New Roman"/>
      <w:color w:val="FF0000"/>
    </w:rPr>
  </w:style>
  <w:style w:type="character" w:styleId="ListLabel69">
    <w:name w:val="ListLabel 69"/>
    <w:qFormat/>
    <w:rPr>
      <w:rFonts w:cs="Courier New"/>
    </w:rPr>
  </w:style>
  <w:style w:type="character" w:styleId="ListLabel70">
    <w:name w:val="ListLabel 70"/>
    <w:qFormat/>
    <w:rPr>
      <w:rFonts w:cs="Wingdings"/>
    </w:rPr>
  </w:style>
  <w:style w:type="character" w:styleId="ListLabel71">
    <w:name w:val="ListLabel 71"/>
    <w:qFormat/>
    <w:rPr>
      <w:rFonts w:cs="Symbol"/>
    </w:rPr>
  </w:style>
  <w:style w:type="character" w:styleId="ListLabel72">
    <w:name w:val="ListLabel 72"/>
    <w:qFormat/>
    <w:rPr>
      <w:rFonts w:cs="Courier New"/>
    </w:rPr>
  </w:style>
  <w:style w:type="character" w:styleId="ListLabel73">
    <w:name w:val="ListLabel 73"/>
    <w:qFormat/>
    <w:rPr>
      <w:rFonts w:cs="Wingdings"/>
    </w:rPr>
  </w:style>
  <w:style w:type="character" w:styleId="ListLabel74">
    <w:name w:val="ListLabel 74"/>
    <w:qFormat/>
    <w:rPr>
      <w:rFonts w:cs="Symbol"/>
    </w:rPr>
  </w:style>
  <w:style w:type="character" w:styleId="ListLabel75">
    <w:name w:val="ListLabel 75"/>
    <w:qFormat/>
    <w:rPr>
      <w:rFonts w:cs="Courier New"/>
    </w:rPr>
  </w:style>
  <w:style w:type="character" w:styleId="ListLabel76">
    <w:name w:val="ListLabel 76"/>
    <w:qFormat/>
    <w:rPr>
      <w:rFonts w:cs="Wingdings"/>
    </w:rPr>
  </w:style>
  <w:style w:type="character" w:styleId="ListLabel77">
    <w:name w:val="ListLabel 77"/>
    <w:qFormat/>
    <w:rPr>
      <w:b w:val="false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rsid w:val="00f3761a"/>
    <w:pPr>
      <w:ind w:left="426" w:hanging="0"/>
      <w:jc w:val="both"/>
    </w:pPr>
    <w:rPr>
      <w:sz w:val="18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Pta">
    <w:name w:val="Footer"/>
    <w:basedOn w:val="Normal"/>
    <w:link w:val="PtaChar"/>
    <w:uiPriority w:val="99"/>
    <w:rsid w:val="00f3761a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semiHidden/>
    <w:qFormat/>
    <w:rsid w:val="00f3761a"/>
    <w:pPr/>
    <w:rPr>
      <w:rFonts w:ascii="Tahoma" w:hAnsi="Tahoma" w:cs="Tahoma"/>
      <w:sz w:val="16"/>
      <w:szCs w:val="16"/>
    </w:rPr>
  </w:style>
  <w:style w:type="paragraph" w:styleId="Zkladntext1" w:customStyle="1">
    <w:name w:val="Základní text1"/>
    <w:qFormat/>
    <w:rsid w:val="00f3761a"/>
    <w:pPr>
      <w:widowControl/>
      <w:bidi w:val="0"/>
      <w:spacing w:lineRule="auto" w:line="240" w:before="144" w:after="144"/>
      <w:ind w:firstLine="709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sk-SK" w:bidi="ar-SA"/>
    </w:rPr>
  </w:style>
  <w:style w:type="paragraph" w:styleId="Pismenka" w:customStyle="1">
    <w:name w:val="Pismenka"/>
    <w:basedOn w:val="Telotextu"/>
    <w:qFormat/>
    <w:rsid w:val="00f3761a"/>
    <w:pPr>
      <w:tabs>
        <w:tab w:val="left" w:pos="426" w:leader="none"/>
      </w:tabs>
      <w:ind w:left="426" w:hanging="426"/>
    </w:pPr>
    <w:rPr>
      <w:b/>
    </w:rPr>
  </w:style>
  <w:style w:type="paragraph" w:styleId="Hlavika">
    <w:name w:val="Header"/>
    <w:basedOn w:val="Normal"/>
    <w:link w:val="HlavikaChar"/>
    <w:uiPriority w:val="99"/>
    <w:rsid w:val="00f3761a"/>
    <w:pPr>
      <w:tabs>
        <w:tab w:val="center" w:pos="4536" w:leader="none"/>
        <w:tab w:val="right" w:pos="9072" w:leader="none"/>
      </w:tabs>
    </w:pPr>
    <w:rPr/>
  </w:style>
  <w:style w:type="paragraph" w:styleId="TltlTextopatreniaArialNarrow11ptZa0pt" w:customStyle="1">
    <w:name w:val="Štýl Štýl Text opatrenia + Arial Narrow 11 pt + Za:  0 pt"/>
    <w:basedOn w:val="Normal"/>
    <w:qFormat/>
    <w:rsid w:val="00f3761a"/>
    <w:pPr>
      <w:spacing w:before="240" w:after="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styleId="Odstavec" w:customStyle="1">
    <w:name w:val="odstavec"/>
    <w:basedOn w:val="Normal"/>
    <w:autoRedefine/>
    <w:qFormat/>
    <w:rsid w:val="00f3761a"/>
    <w:pPr>
      <w:ind w:right="-79" w:hanging="0"/>
      <w:jc w:val="both"/>
    </w:pPr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f3761a"/>
    <w:pPr>
      <w:spacing w:before="0" w:after="0"/>
      <w:ind w:left="720" w:hanging="0"/>
      <w:contextualSpacing/>
    </w:pPr>
    <w:rPr/>
  </w:style>
  <w:style w:type="paragraph" w:styleId="NoSpacing">
    <w:name w:val="No Spacing"/>
    <w:uiPriority w:val="1"/>
    <w:qFormat/>
    <w:rsid w:val="00f3761a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sk-SK" w:eastAsia="sk-SK" w:bidi="ar-SA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rsid w:val="00f3761a"/>
    <w:pPr>
      <w:spacing w:after="0" w:line="240" w:lineRule="auto"/>
    </w:pPr>
    <w:rPr>
      <w:lang w:eastAsia="sk-SK"/>
      <w:sz w:val="20"/>
      <w:szCs w:val="20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glossaryDocument" Target="glossary/document.xml"/>
</Relationships>
</file>

<file path=word/glossary/_rels/document.xml.rels><?xml version="1.0" encoding="UTF-8"?>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
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49E1FBCE87004281A892236CC55C35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3E7239-EB9E-4D71-846F-0CE82425A590}"/>
      </w:docPartPr>
      <w:docPartBody>
        <w:p w:rsidR="00000000" w:rsidRDefault="009B01F4" w:rsidP="009B01F4">
          <w:pPr>
            <w:pStyle w:val="49E1FBCE87004281A892236CC55C35DB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[Zadajte nadpis dokumentu]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20B05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9B01F4"/>
    <w:rsid w:val="009B01F4"/>
    <w:rsid w:val="00D20F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49E1FBCE87004281A892236CC55C35DB">
    <w:name w:val="49E1FBCE87004281A892236CC55C35DB"/>
    <w:rsid w:val="009B01F4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Application>LibreOffice/6.0.4.2$Windows_X86_64 LibreOffice_project/9b0d9b32d5dcda91d2f1a96dc04c645c450872bf</Application>
  <Pages>11</Pages>
  <Words>3164</Words>
  <Characters>18022</Characters>
  <CharactersWithSpaces>21188</CharactersWithSpaces>
  <Paragraphs>673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2023-02-26T17:04:00Z</dcterms:created>
  <dc:creator>Lenovo</dc:creator>
  <dc:description/>
  <dc:language>sk-SK</dc:language>
  <cp:lastModifiedBy/>
  <dcterms:modified xsi:type="dcterms:W3CDTF">2024-04-02T13:39:16Z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