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_rels/document.xml.rels" ContentType="application/vnd.openxmlformats-package.relationships+xml"/>
  <Override PartName="/_rels/.rels" ContentType="application/vnd.openxmlformats-package.relationship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jc w:val="center"/>
        <w:rPr>
          <w:b/>
          <w:sz w:val="24"/>
          <w:szCs w:val="24"/>
          <w:u w:val="single"/>
        </w:rPr>
      </w:pPr>
      <w:r>
        <w:rPr>
          <w:b/>
          <w:sz w:val="36"/>
        </w:rPr>
        <w:t xml:space="preserve">Poznámky k 31.12.2023 </w:t>
      </w:r>
    </w:p>
    <w:p>
      <w:pPr>
        <w:pStyle w:val="Normal"/>
        <w:rPr>
          <w:b/>
          <w:sz w:val="24"/>
          <w:szCs w:val="24"/>
          <w:u w:val="single"/>
        </w:rPr>
      </w:pPr>
      <w:r>
        <w:rPr>
          <w:b/>
          <w:sz w:val="24"/>
          <w:szCs w:val="24"/>
          <w:u w:val="single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Všeobecné údaje</w:t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</w:tabs>
        <w:ind w:left="284" w:right="0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Identifikačné údaje účtovnej jednotky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3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59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a)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účtovnej jednotky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Obec Ľuboreč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účtovnej jednotky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Ľuboreč138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IČO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00316202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Dátum zriadenia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Obec bola založená v01.01.1990 zákonom č.369/1990 Zb. o obecnom zriadení.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Spôsob zriadenia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Obec - zo zákona č.369/1990 Zb.</w:t>
            </w:r>
          </w:p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Názov zriaďovateľa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Sídlo zriaďovateľa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b) Právny dôvod na zostavenie účtovnej závierky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0" w:name="Bookmark"/>
            <w:bookmarkStart w:id="1" w:name="Bookmark"/>
            <w:bookmarkEnd w:id="1"/>
            <w:r>
              <w:rPr/>
            </w:r>
            <w:r>
              <w:rPr/>
              <w:fldChar w:fldCharType="end"/>
            </w:r>
            <w:bookmarkStart w:id="2" w:name="Bookmark_Kópie_1_Kópie_1"/>
            <w:bookmarkStart w:id="3" w:name="Bookmark_Kópie_1"/>
            <w:bookmarkStart w:id="4" w:name="__Fieldmark__0_1904378267"/>
            <w:bookmarkStart w:id="5" w:name="Bookmark_Kópie_1_Kópie_1"/>
            <w:bookmarkStart w:id="6" w:name="Bookmark_Kópie_1"/>
            <w:bookmarkEnd w:id="2"/>
            <w:bookmarkEnd w:id="3"/>
            <w:bookmarkEnd w:id="4"/>
            <w:bookmarkEnd w:id="5"/>
            <w:bookmarkEnd w:id="6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riadna</w:t>
            </w:r>
          </w:p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7" w:name="Bookmark_Kópie_2"/>
            <w:bookmarkStart w:id="8" w:name="Bookmark_Kópie_2"/>
            <w:bookmarkEnd w:id="8"/>
            <w:r>
              <w:rPr/>
            </w:r>
            <w:r>
              <w:rPr/>
              <w:fldChar w:fldCharType="end"/>
            </w:r>
            <w:bookmarkStart w:id="9" w:name="Bookmark_Kópie_2_Kópie_1"/>
            <w:bookmarkStart w:id="10" w:name="Bookmark_Kópie_1_Kópie_1_Kópie_1"/>
            <w:bookmarkStart w:id="11" w:name="__Fieldmark__1_1904378267"/>
            <w:bookmarkStart w:id="12" w:name="Bookmark_Kópie_2_Kópie_1"/>
            <w:bookmarkStart w:id="13" w:name="Bookmark_Kópie_2"/>
            <w:bookmarkEnd w:id="9"/>
            <w:bookmarkEnd w:id="10"/>
            <w:bookmarkEnd w:id="11"/>
            <w:bookmarkEnd w:id="12"/>
            <w:bookmarkEnd w:id="13"/>
            <w:r>
              <w:rPr>
                <w:sz w:val="24"/>
                <w:szCs w:val="24"/>
              </w:rPr>
              <w:t xml:space="preserve">    mimoriadna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c) Účtovná jednotka je súčasťou konsolidovaného celku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14" w:name="Bookmark_Kópie_3"/>
            <w:bookmarkStart w:id="15" w:name="Bookmark_Kópie_3"/>
            <w:bookmarkEnd w:id="15"/>
            <w:r>
              <w:rPr/>
            </w:r>
            <w:r>
              <w:rPr/>
              <w:fldChar w:fldCharType="end"/>
            </w:r>
            <w:bookmarkStart w:id="16" w:name="Bookmark_Kópie_3_Kópie_1"/>
            <w:bookmarkStart w:id="17" w:name="Bookmark_Kópie_2_Kópie_1_Kópie_1"/>
            <w:bookmarkStart w:id="18" w:name="__Fieldmark__2_1904378267"/>
            <w:bookmarkStart w:id="19" w:name="Bookmark_Kópie_3_Kópie_1"/>
            <w:bookmarkStart w:id="20" w:name="Bookmark_Kópie_3"/>
            <w:bookmarkEnd w:id="16"/>
            <w:bookmarkEnd w:id="17"/>
            <w:bookmarkEnd w:id="18"/>
            <w:bookmarkEnd w:id="19"/>
            <w:bookmarkEnd w:id="20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21" w:name="Bookmark_Kópie_4"/>
            <w:bookmarkStart w:id="22" w:name="Bookmark_Kópie_4"/>
            <w:bookmarkEnd w:id="22"/>
            <w:r>
              <w:rPr/>
            </w:r>
            <w:r>
              <w:rPr/>
              <w:fldChar w:fldCharType="end"/>
            </w:r>
            <w:bookmarkStart w:id="23" w:name="Bookmark_Kópie_4_Kópie_1"/>
            <w:bookmarkStart w:id="24" w:name="Bookmark_Kópie_3_Kópie_1_Kópie_1"/>
            <w:bookmarkStart w:id="25" w:name="__Fieldmark__3_1904378267"/>
            <w:bookmarkStart w:id="26" w:name="Bookmark_Kópie_4_Kópie_1"/>
            <w:bookmarkStart w:id="27" w:name="Bookmark_Kópie_4"/>
            <w:bookmarkEnd w:id="23"/>
            <w:bookmarkEnd w:id="24"/>
            <w:bookmarkEnd w:id="25"/>
            <w:bookmarkEnd w:id="26"/>
            <w:bookmarkEnd w:id="27"/>
            <w:r>
              <w:rPr>
                <w:sz w:val="24"/>
                <w:szCs w:val="24"/>
              </w:rPr>
              <w:t xml:space="preserve">    nie</w:t>
            </w:r>
          </w:p>
        </w:tc>
      </w:tr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d) Účtovná jednotka je súčasťou súhrnného celku verejnej správy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28" w:name="Bookmark_Kópie_5"/>
            <w:bookmarkStart w:id="29" w:name="Bookmark_Kópie_5"/>
            <w:bookmarkEnd w:id="29"/>
            <w:r>
              <w:rPr/>
            </w:r>
            <w:r>
              <w:rPr/>
              <w:fldChar w:fldCharType="end"/>
            </w:r>
            <w:bookmarkStart w:id="30" w:name="Bookmark_Kópie_5_Kópie_1"/>
            <w:bookmarkStart w:id="31" w:name="Bookmark_Kópie_4_Kópie_1_Kópie_1"/>
            <w:bookmarkStart w:id="32" w:name="__Fieldmark__4_1904378267"/>
            <w:bookmarkStart w:id="33" w:name="Bookmark_Kópie_5_Kópie_1"/>
            <w:bookmarkStart w:id="34" w:name="Bookmark_Kópie_5"/>
            <w:bookmarkEnd w:id="30"/>
            <w:bookmarkEnd w:id="31"/>
            <w:bookmarkEnd w:id="32"/>
            <w:bookmarkEnd w:id="33"/>
            <w:bookmarkEnd w:id="34"/>
            <w:r>
              <w:rPr>
                <w:b/>
                <w:sz w:val="24"/>
                <w:szCs w:val="24"/>
              </w:rPr>
              <w:t xml:space="preserve">    </w:t>
            </w:r>
            <w:r>
              <w:rPr>
                <w:sz w:val="24"/>
                <w:szCs w:val="24"/>
              </w:rPr>
              <w:t>áno</w:t>
            </w:r>
          </w:p>
          <w:p>
            <w:pPr>
              <w:pStyle w:val="Normal"/>
              <w:widowControl w:val="false"/>
              <w:rPr/>
            </w:pPr>
            <w:r>
              <w:fldChar w:fldCharType="begin">
                <w:ffData>
                  <w:name w:val=""/>
                  <w:enabled/>
                  <w:calcOnExit w:val="0"/>
                  <w:checkBox>
                    <w:sizeAuto/>
                    <w:checked/>
                  </w:checkBox>
                </w:ffData>
              </w:fldChar>
            </w:r>
            <w:r>
              <w:rPr/>
              <w:instrText xml:space="preserve"> FORMCHECKBOX </w:instrText>
            </w:r>
            <w:r>
              <w:rPr/>
              <w:fldChar w:fldCharType="separate"/>
            </w:r>
            <w:bookmarkStart w:id="35" w:name="Bookmark_Kópie_6"/>
            <w:bookmarkStart w:id="36" w:name="Bookmark_Kópie_6"/>
            <w:bookmarkEnd w:id="36"/>
            <w:r>
              <w:rPr/>
            </w:r>
            <w:r>
              <w:rPr/>
              <w:fldChar w:fldCharType="end"/>
            </w:r>
            <w:bookmarkStart w:id="37" w:name="Bookmark_Kópie_6_Kópie_1"/>
            <w:bookmarkStart w:id="38" w:name="Bookmark_Kópie_5_Kópie_1_Kópie_1"/>
            <w:bookmarkStart w:id="39" w:name="__Fieldmark__5_1904378267"/>
            <w:bookmarkStart w:id="40" w:name="Bookmark_Kópie_6_Kópie_1"/>
            <w:bookmarkStart w:id="41" w:name="Bookmark_Kópie_6"/>
            <w:bookmarkEnd w:id="37"/>
            <w:bookmarkEnd w:id="38"/>
            <w:bookmarkEnd w:id="39"/>
            <w:bookmarkEnd w:id="40"/>
            <w:bookmarkEnd w:id="41"/>
            <w:r>
              <w:rPr>
                <w:sz w:val="24"/>
                <w:szCs w:val="24"/>
              </w:rPr>
              <w:t xml:space="preserve">    nie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</w:tabs>
        <w:ind w:left="284" w:right="0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Opis činnosti účtovnej jednotky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3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781"/>
        <w:gridCol w:w="5598"/>
      </w:tblGrid>
      <w:tr>
        <w:trPr/>
        <w:tc>
          <w:tcPr>
            <w:tcW w:w="47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Hlavná činnosť účtovnej jednotky</w:t>
            </w:r>
          </w:p>
        </w:tc>
        <w:tc>
          <w:tcPr>
            <w:tcW w:w="55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  <w:sz w:val="24"/>
                <w:szCs w:val="24"/>
              </w:rPr>
              <w:t xml:space="preserve">Obec - podľa zákona č.369/1990 Zb. je základnou úlohou obce </w:t>
            </w:r>
            <w:r>
              <w:rPr>
                <w:color w:val="000000"/>
                <w:sz w:val="24"/>
                <w:szCs w:val="24"/>
                <w:shd w:fill="FFFFFF" w:val="clear"/>
              </w:rPr>
              <w:t>pri výkone samosprávy starostlivosť o všestranný rozvoj jej územia a o potreby jej obyvateľov</w:t>
            </w:r>
          </w:p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24"/>
        </w:numPr>
        <w:tabs>
          <w:tab w:val="clear" w:pos="708"/>
          <w:tab w:val="left" w:pos="284" w:leader="none"/>
        </w:tabs>
        <w:ind w:left="284" w:right="0" w:hanging="284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štatutárnych zástupcoch a o organizačnej štruktúre účtovnej jednotky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434" w:type="dxa"/>
        <w:jc w:val="left"/>
        <w:tblInd w:w="-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4844"/>
        <w:gridCol w:w="5589"/>
      </w:tblGrid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Mgr. Marcel Šupica starosta obce</w:t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od 22.11.2022 Martina Bútová starostka obce</w:t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Štatutárny zástupca (meno a priezvisko)</w:t>
            </w:r>
          </w:p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Funkcia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Priemerný počet zamestnancov počas účtovného obdobia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zamestnancov ku dňu, ku ktorému sa zostavuje účtovná závierka účtovnej jednotky z toho: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ind w:left="176" w:right="0" w:hanging="142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počet vedúcich zamestnancov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</w:t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</w:t>
            </w:r>
          </w:p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Informácie o organizáciách zriadených a založených účtovnou jednotkou: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left="176" w:right="0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rozpočtové organizácie zriadené účtovnou jednotkou (názov, sídlo, IČO - počet)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left="176" w:right="0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príspevkové  organizácie zriadené účtovnou jednotkou (názov, sídlo, IČO - počet)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left="176" w:right="0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neziskové organizácie založené/zriadené  účtovnou jednotkou (názov, sídlo, IČO - počet)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left="176" w:right="0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právnické osoby založené účtovnou jednotkou (názov, sídlo, IČO - počet)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  <w:tr>
        <w:trPr/>
        <w:tc>
          <w:tcPr>
            <w:tcW w:w="4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25"/>
              </w:numPr>
              <w:ind w:left="176" w:right="0" w:hanging="142"/>
              <w:rPr>
                <w:color w:val="000000"/>
                <w:sz w:val="24"/>
                <w:szCs w:val="24"/>
              </w:rPr>
            </w:pPr>
            <w:r>
              <w:rPr>
                <w:color w:val="000000"/>
                <w:sz w:val="24"/>
                <w:szCs w:val="24"/>
              </w:rPr>
              <w:t>cenné papiere a podiely v obchodných spoločnostiach (názov, sídlo, IČO - počet)</w:t>
            </w:r>
          </w:p>
        </w:tc>
        <w:tc>
          <w:tcPr>
            <w:tcW w:w="55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Nie sú zriadené</w:t>
            </w:r>
          </w:p>
        </w:tc>
      </w:tr>
    </w:tbl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II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účtovných zásadách a účtovných metódach </w:t>
      </w:r>
    </w:p>
    <w:p>
      <w:pPr>
        <w:pStyle w:val="Normal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right="0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Účtovná závierka je zostavená za splnenia predpokladu nepretržitého pokračovania účtovnej jednotky vo svojej činnosti                </w:t>
      </w:r>
      <w:r>
        <w:rPr>
          <w:rFonts w:cs="Tahoma"/>
          <w:b/>
          <w:bCs/>
          <w:sz w:val="22"/>
          <w:szCs w:val="22"/>
          <w:lang w:bidi="zxx"/>
        </w:rPr>
        <w:t xml:space="preserve">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42" w:name="Bookmark_Kópie_7"/>
      <w:bookmarkStart w:id="43" w:name="Bookmark_Kópie_7"/>
      <w:bookmarkEnd w:id="43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44" w:name="Bookmark_Kópie_7_Kópie_1"/>
      <w:bookmarkStart w:id="45" w:name="Bookmark_Kópie_6_Kópie_1_Kópie_1"/>
      <w:bookmarkStart w:id="46" w:name="__Fieldmark__6_1904378267"/>
      <w:bookmarkStart w:id="47" w:name="Bookmark_Kópie_7_Kópie_1"/>
      <w:bookmarkStart w:id="48" w:name="Bookmark_Kópie_7"/>
      <w:bookmarkEnd w:id="44"/>
      <w:bookmarkEnd w:id="45"/>
      <w:bookmarkEnd w:id="46"/>
      <w:bookmarkEnd w:id="47"/>
      <w:bookmarkEnd w:id="48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49" w:name="Bookmark_Kópie_8"/>
      <w:bookmarkStart w:id="50" w:name="Bookmark_Kópie_8"/>
      <w:bookmarkEnd w:id="50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51" w:name="Bookmark_Kópie_8_Kópie_1"/>
      <w:bookmarkStart w:id="52" w:name="Bookmark_Kópie_7_Kópie_1_Kópie_1"/>
      <w:bookmarkStart w:id="53" w:name="__Fieldmark__7_1904378267"/>
      <w:bookmarkStart w:id="54" w:name="Bookmark_Kópie_8_Kópie_1"/>
      <w:bookmarkStart w:id="55" w:name="Bookmark_Kópie_8"/>
      <w:bookmarkEnd w:id="51"/>
      <w:bookmarkEnd w:id="52"/>
      <w:bookmarkEnd w:id="53"/>
      <w:bookmarkEnd w:id="54"/>
      <w:bookmarkEnd w:id="55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spacing w:lineRule="auto" w:line="36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right="0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Zmeny účtovných metód a účtovných zásad </w:t>
      </w:r>
    </w:p>
    <w:p>
      <w:pPr>
        <w:pStyle w:val="Normal"/>
        <w:ind w:left="284" w:right="0" w:hanging="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Účtovná jednotka zmenila účtovné metódy, účtovné zásady oproti predchádzajúcemu účtovnému obdobiu                                                                                                         </w:t>
      </w:r>
      <w:r>
        <w:rPr>
          <w:rFonts w:cs="Tahoma"/>
          <w:b/>
          <w:bCs/>
          <w:sz w:val="22"/>
          <w:szCs w:val="22"/>
          <w:lang w:bidi="zxx"/>
        </w:rPr>
        <w:t xml:space="preserve">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56" w:name="Bookmark_Kópie_9"/>
      <w:bookmarkStart w:id="57" w:name="Bookmark_Kópie_9"/>
      <w:bookmarkEnd w:id="57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58" w:name="Bookmark_Kópie_9_Kópie_1"/>
      <w:bookmarkStart w:id="59" w:name="Bookmark_Kópie_8_Kópie_1_Kópie_1"/>
      <w:bookmarkStart w:id="60" w:name="__Fieldmark__8_1904378267"/>
      <w:bookmarkStart w:id="61" w:name="Bookmark_Kópie_9_Kópie_1"/>
      <w:bookmarkStart w:id="62" w:name="Bookmark_Kópie_9"/>
      <w:bookmarkEnd w:id="58"/>
      <w:bookmarkEnd w:id="59"/>
      <w:bookmarkEnd w:id="60"/>
      <w:bookmarkEnd w:id="61"/>
      <w:bookmarkEnd w:id="62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63" w:name="Bookmark_Kópie_10"/>
      <w:bookmarkStart w:id="64" w:name="Bookmark_Kópie_10"/>
      <w:bookmarkEnd w:id="64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65" w:name="Bookmark_Kópie_10_Kópie_1"/>
      <w:bookmarkStart w:id="66" w:name="Bookmark_Kópie_9_Kópie_1_Kópie_1"/>
      <w:bookmarkStart w:id="67" w:name="__Fieldmark__9_1904378267"/>
      <w:bookmarkStart w:id="68" w:name="Bookmark_Kópie_10_Kópie_1"/>
      <w:bookmarkStart w:id="69" w:name="Bookmark_Kópie_10"/>
      <w:bookmarkEnd w:id="65"/>
      <w:bookmarkEnd w:id="66"/>
      <w:bookmarkEnd w:id="67"/>
      <w:bookmarkEnd w:id="68"/>
      <w:bookmarkEnd w:id="69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ind w:left="357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rFonts w:cs="Tahoma"/>
          <w:b/>
          <w:bCs/>
          <w:sz w:val="24"/>
          <w:szCs w:val="24"/>
          <w:lang w:bidi="zxx"/>
        </w:rPr>
        <w:t xml:space="preserve">Ak áno: </w:t>
      </w:r>
    </w:p>
    <w:tbl>
      <w:tblPr>
        <w:tblW w:w="10434" w:type="dxa"/>
        <w:jc w:val="left"/>
        <w:tblInd w:w="4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415"/>
        <w:gridCol w:w="2459"/>
        <w:gridCol w:w="2463"/>
        <w:gridCol w:w="3096"/>
      </w:tblGrid>
      <w:tr>
        <w:trPr/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zmeny</w:t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zmeny</w:t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Vplyv zmeny na hodnotu majetku, záväzkov, vlastného imania a výsledku hospodárenia</w:t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Peňažné vyjadrenie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241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24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4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</w:tbl>
    <w:p>
      <w:pPr>
        <w:pStyle w:val="Normal"/>
        <w:ind w:left="284" w:right="0" w:hanging="0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right="0" w:hanging="284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Spôsob ocenenia jednotlivých</w:t>
      </w:r>
      <w:r>
        <w:rPr>
          <w:b/>
          <w:color w:val="000000"/>
          <w:sz w:val="24"/>
          <w:szCs w:val="24"/>
        </w:rPr>
        <w:t xml:space="preserve"> položiek majetku a záväzkov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tbl>
      <w:tblPr>
        <w:tblW w:w="10380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378"/>
        <w:gridCol w:w="4001"/>
      </w:tblGrid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Položky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Spôsob oceňovania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nakupovaný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rPr/>
            </w:pPr>
            <w:r>
              <w:rPr>
                <w:sz w:val="24"/>
                <w:szCs w:val="24"/>
              </w:rPr>
              <w:t xml:space="preserve">dlhodobý nehmotný majetok </w:t>
            </w:r>
            <w:r>
              <w:rPr>
                <w:sz w:val="24"/>
              </w:rPr>
              <w:t>vytvorený vlastnou činnosťou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hmotný majetok nakupovaný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rPr>
                <w:sz w:val="24"/>
              </w:rPr>
            </w:pPr>
            <w:r>
              <w:rPr>
                <w:sz w:val="24"/>
              </w:rPr>
              <w:t>dlhodobý hmotný majetok vytvorený vlastnou činnosťou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dlhodobý nehmotný majetok a dlhodobý hmotný majetok získaný bezodplatne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rPr>
                <w:sz w:val="24"/>
              </w:rPr>
            </w:pPr>
            <w:r>
              <w:rPr>
                <w:sz w:val="24"/>
              </w:rPr>
              <w:t>dlhodobý finančný majetok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/>
            </w:pPr>
            <w:r>
              <w:rPr>
                <w:sz w:val="24"/>
              </w:rPr>
              <w:t xml:space="preserve">zásoby </w:t>
            </w:r>
            <w:r>
              <w:rPr>
                <w:sz w:val="24"/>
                <w:szCs w:val="24"/>
              </w:rPr>
              <w:t>nakupované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obstarávacou cenou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vytvorené vlastnou činnosťou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vlastnými nákladmi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</w:rPr>
            </w:pPr>
            <w:r>
              <w:rPr>
                <w:sz w:val="24"/>
              </w:rPr>
              <w:t>zásoby získané bezodplatne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</w:rPr>
            </w:pPr>
            <w:r>
              <w:rPr>
                <w:sz w:val="24"/>
              </w:rPr>
              <w:t>pohľadávky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</w:rPr>
            </w:pPr>
            <w:r>
              <w:rPr>
                <w:sz w:val="24"/>
              </w:rPr>
              <w:t>krátkodobý finančný majetok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rPr>
                <w:sz w:val="24"/>
              </w:rPr>
            </w:pPr>
            <w:r>
              <w:rPr>
                <w:sz w:val="24"/>
              </w:rPr>
              <w:t>menovitou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/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aktív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náklady budúcich období a príjmy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</w:rPr>
            </w:pPr>
            <w:r>
              <w:rPr>
                <w:sz w:val="24"/>
              </w:rPr>
              <w:t>záväzky, vrátane dlhopisov, pôžičiek a úverov</w:t>
            </w:r>
          </w:p>
          <w:p>
            <w:pPr>
              <w:pStyle w:val="Normal"/>
              <w:widowControl w:val="false"/>
              <w:ind w:left="284" w:right="0" w:hanging="0"/>
              <w:jc w:val="both"/>
              <w:rPr>
                <w:sz w:val="24"/>
              </w:rPr>
            </w:pPr>
            <w:r>
              <w:rPr>
                <w:sz w:val="24"/>
              </w:rPr>
              <w:t>rezervy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1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</w:rPr>
              <w:t>menovitou hodnotou</w:t>
            </w:r>
          </w:p>
          <w:p>
            <w:pPr>
              <w:pStyle w:val="Telotextu"/>
              <w:widowControl w:val="false"/>
              <w:ind w:left="1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oceňujú sa v očakávanej výške záväzku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/>
            </w:pPr>
            <w:r>
              <w:rPr>
                <w:sz w:val="24"/>
              </w:rPr>
              <w:t xml:space="preserve">časové rozlíšenie na strane </w:t>
            </w:r>
            <w:r>
              <w:rPr>
                <w:sz w:val="24"/>
                <w:szCs w:val="24"/>
              </w:rPr>
              <w:t>pasív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výdavky budúcich období a výnosy budúcich období sa vykazujú vo výške, ktorá je potrebná na dodržanie zásady vecnej a časovej súvislosti s účtovným obdobím.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</w:rPr>
            </w:pPr>
            <w:r>
              <w:rPr>
                <w:sz w:val="24"/>
              </w:rPr>
              <w:t>deriváty pri nadobudnutí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  <w:tr>
        <w:trPr/>
        <w:tc>
          <w:tcPr>
            <w:tcW w:w="63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3"/>
              </w:numPr>
              <w:ind w:left="284" w:right="0" w:hanging="283"/>
              <w:jc w:val="both"/>
              <w:rPr>
                <w:sz w:val="24"/>
              </w:rPr>
            </w:pPr>
            <w:r>
              <w:rPr>
                <w:sz w:val="24"/>
              </w:rPr>
              <w:t>majetok a záväzky zabezpečené derivátmi</w:t>
            </w:r>
          </w:p>
        </w:tc>
        <w:tc>
          <w:tcPr>
            <w:tcW w:w="40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Telotextu"/>
              <w:widowControl w:val="false"/>
              <w:ind w:left="34" w:right="0" w:hanging="0"/>
              <w:jc w:val="left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reálnou hodnotou</w:t>
            </w:r>
          </w:p>
        </w:tc>
      </w:tr>
    </w:tbl>
    <w:p>
      <w:pPr>
        <w:pStyle w:val="Normal"/>
        <w:ind w:left="284" w:right="0" w:hanging="0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right="0" w:hanging="284"/>
        <w:jc w:val="both"/>
        <w:rPr>
          <w:color w:val="000000"/>
          <w:sz w:val="24"/>
          <w:szCs w:val="24"/>
        </w:rPr>
      </w:pPr>
      <w:r>
        <w:rPr>
          <w:b/>
          <w:sz w:val="24"/>
          <w:szCs w:val="24"/>
        </w:rPr>
        <w:t>Spôsob zostavenia odpisového plánu pre dlhodobý majetok, doba odpisovania, sadzby odpisov a odpisové metódy pri stanovení účtovných odpisov</w:t>
      </w:r>
    </w:p>
    <w:p>
      <w:pPr>
        <w:pStyle w:val="Normal"/>
        <w:ind w:left="284" w:right="0" w:hanging="0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Odpisy dlhodobého nehmotného majetku a dlhodobého hmotného majetku sú stanovené tak, že</w:t>
      </w:r>
      <w:r>
        <w:rPr>
          <w:i/>
          <w:color w:val="000000"/>
          <w:sz w:val="24"/>
          <w:szCs w:val="24"/>
        </w:rPr>
        <w:t xml:space="preserve"> </w:t>
      </w:r>
      <w:r>
        <w:rPr>
          <w:color w:val="000000"/>
          <w:sz w:val="24"/>
          <w:szCs w:val="24"/>
        </w:rPr>
        <w:t>sa vychádza z predpokladanej doby jeho užívania a predpokladaného priebehu jeho opotrebenia. Odpisovať sa začína</w:t>
      </w:r>
      <w:r>
        <w:rPr>
          <w:b/>
          <w:bCs/>
          <w:color w:val="000000"/>
          <w:sz w:val="24"/>
          <w:szCs w:val="24"/>
          <w:lang w:bidi="zxx"/>
        </w:rPr>
        <w:t xml:space="preserve"> </w:t>
      </w:r>
      <w:r>
        <w:rPr>
          <w:bCs/>
          <w:color w:val="000000"/>
          <w:sz w:val="24"/>
          <w:szCs w:val="24"/>
          <w:lang w:bidi="zxx"/>
        </w:rPr>
        <w:t xml:space="preserve">prvým dňom </w:t>
      </w:r>
      <w:r>
        <w:rPr>
          <w:color w:val="000000"/>
          <w:sz w:val="24"/>
          <w:szCs w:val="24"/>
        </w:rPr>
        <w:t xml:space="preserve"> mesiaca, v ktorom bol dlhodobý majetok uvedený do používania.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Účtovné odpisy sa zaokrúhľujú na celé eurá nahor. Ak sa v priebehu používania majetku zistí, že doba odpisovania nezodpovedá opotrebeniu majetku, upravia sa odpisy majetku a doba odpisovania od 1.1. nasledujúceho roka.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Telotextu"/>
        <w:ind w:left="0" w:right="0" w:hanging="0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Alebo napr. Predpokladaná dob</w:t>
      </w:r>
      <w:r>
        <w:rPr>
          <w:sz w:val="24"/>
          <w:szCs w:val="24"/>
        </w:rPr>
        <w:t>a užívania a odpisové sadzby sú stanovené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961"/>
        <w:gridCol w:w="3072"/>
        <w:gridCol w:w="4293"/>
      </w:tblGrid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Odpisová skupina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Predpokladaná doba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používania v rokoch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Ročná odpisová sadzba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1/4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  <w:t>4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25,00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2/6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16,66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3/8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8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12,50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4/12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12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8,33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5/20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5,00</w:t>
            </w:r>
          </w:p>
        </w:tc>
      </w:tr>
      <w:tr>
        <w:trPr/>
        <w:tc>
          <w:tcPr>
            <w:tcW w:w="2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6/40</w:t>
            </w:r>
          </w:p>
        </w:tc>
        <w:tc>
          <w:tcPr>
            <w:tcW w:w="307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40</w:t>
            </w:r>
          </w:p>
        </w:tc>
        <w:tc>
          <w:tcPr>
            <w:tcW w:w="42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center"/>
              <w:rPr/>
            </w:pPr>
            <w:r>
              <w:rPr/>
              <w:t>2,50</w:t>
            </w:r>
          </w:p>
        </w:tc>
      </w:tr>
    </w:tbl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sz w:val="24"/>
        </w:rPr>
        <w:t>Drobný nehmotný majetok od .............. Eur do .............. Eur, ktorý podľa</w:t>
      </w:r>
      <w:r>
        <w:rPr>
          <w:color w:val="FF0000"/>
          <w:sz w:val="24"/>
        </w:rPr>
        <w:t xml:space="preserve"> </w:t>
      </w:r>
      <w:r>
        <w:rPr>
          <w:sz w:val="24"/>
        </w:rPr>
        <w:t>účtovnej jednotky nie je dlhodobým nehmotným majetkom sa účtuje pri obstaraní do nákladov na účet 518 - Ostatné služby.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sz w:val="24"/>
        </w:rPr>
        <w:t xml:space="preserve">Drobný hmotný majetok od .............. Eur do .............. Eur, ktorý podľa účtovnej jednotky nie je dlhodobým hmotným majetkom sa účtuje ako zásoby. </w:t>
      </w:r>
    </w:p>
    <w:p>
      <w:pPr>
        <w:pStyle w:val="Normal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Pismenka"/>
        <w:tabs>
          <w:tab w:val="clear" w:pos="426"/>
        </w:tabs>
        <w:ind w:left="0" w:right="0" w:hanging="0"/>
        <w:rPr>
          <w:color w:val="000000"/>
          <w:sz w:val="24"/>
          <w:szCs w:val="24"/>
        </w:rPr>
      </w:pPr>
      <w:r>
        <w:rPr>
          <w:b w:val="false"/>
          <w:sz w:val="24"/>
          <w:szCs w:val="24"/>
        </w:rPr>
        <w:t>Textová časť.....................................................................................................................................................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right="0" w:hanging="425"/>
        <w:rPr>
          <w:color w:val="000000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right="0" w:hanging="425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right="0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zohľadnenie zníženia hodnoty majetku.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Prechodné zníženie hodnoty majetku sa vyjadruje </w:t>
      </w:r>
      <w:r>
        <w:rPr>
          <w:sz w:val="24"/>
          <w:szCs w:val="24"/>
          <w:u w:val="single"/>
        </w:rPr>
        <w:t>opravnou položkou</w:t>
      </w:r>
      <w:r>
        <w:rPr>
          <w:sz w:val="24"/>
          <w:szCs w:val="24"/>
        </w:rPr>
        <w:t xml:space="preserve">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>Účtovná jednotka podľa vnútorného predpisu tvorila opravné položky k:</w:t>
      </w:r>
    </w:p>
    <w:p>
      <w:pPr>
        <w:pStyle w:val="Normal"/>
        <w:numPr>
          <w:ilvl w:val="0"/>
          <w:numId w:val="25"/>
        </w:numPr>
        <w:rPr>
          <w:sz w:val="24"/>
          <w:szCs w:val="24"/>
        </w:rPr>
      </w:pPr>
      <w:r>
        <w:rPr>
          <w:sz w:val="24"/>
          <w:szCs w:val="24"/>
        </w:rPr>
        <w:t>odpisovanému dlhodobému majetku</w:t>
      </w:r>
      <w:r>
        <w:rPr>
          <w:rFonts w:cs="Tahoma"/>
          <w:b/>
          <w:bCs/>
          <w:sz w:val="22"/>
          <w:szCs w:val="22"/>
          <w:lang w:bidi="zxx"/>
        </w:rPr>
        <w:t xml:space="preserve">                              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70" w:name="Bookmark_Kópie_11"/>
      <w:bookmarkStart w:id="71" w:name="Bookmark_Kópie_11"/>
      <w:bookmarkEnd w:id="71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72" w:name="Bookmark_Kópie_11_Kópie_1"/>
      <w:bookmarkStart w:id="73" w:name="Bookmark_Kópie_10_Kópie_1_Kópie_1"/>
      <w:bookmarkStart w:id="74" w:name="__Fieldmark__10_1904378267"/>
      <w:bookmarkStart w:id="75" w:name="Bookmark_Kópie_11_Kópie_1"/>
      <w:bookmarkStart w:id="76" w:name="Bookmark_Kópie_11"/>
      <w:bookmarkEnd w:id="72"/>
      <w:bookmarkEnd w:id="73"/>
      <w:bookmarkEnd w:id="74"/>
      <w:bookmarkEnd w:id="75"/>
      <w:bookmarkEnd w:id="76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77" w:name="Bookmark_Kópie_12"/>
      <w:bookmarkStart w:id="78" w:name="Bookmark_Kópie_12"/>
      <w:bookmarkEnd w:id="78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79" w:name="Bookmark_Kópie_12_Kópie_1"/>
      <w:bookmarkStart w:id="80" w:name="Bookmark_Kópie_11_Kópie_1_Kópie_1"/>
      <w:bookmarkStart w:id="81" w:name="__Fieldmark__11_1904378267"/>
      <w:bookmarkStart w:id="82" w:name="Bookmark_Kópie_12_Kópie_1"/>
      <w:bookmarkStart w:id="83" w:name="Bookmark_Kópie_12"/>
      <w:bookmarkEnd w:id="79"/>
      <w:bookmarkEnd w:id="80"/>
      <w:bookmarkEnd w:id="81"/>
      <w:bookmarkEnd w:id="82"/>
      <w:bookmarkEnd w:id="83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rFonts w:cs="Tahoma"/>
          <w:bCs/>
          <w:sz w:val="24"/>
          <w:szCs w:val="24"/>
          <w:lang w:bidi="zxx"/>
        </w:rPr>
      </w:pPr>
      <w:r>
        <w:rPr>
          <w:sz w:val="24"/>
          <w:szCs w:val="24"/>
        </w:rPr>
        <w:t>neodpisovanému dlhodobému majetku</w:t>
      </w:r>
      <w:r>
        <w:rPr>
          <w:rFonts w:cs="Tahoma"/>
          <w:b/>
          <w:bCs/>
          <w:sz w:val="22"/>
          <w:szCs w:val="22"/>
          <w:lang w:bidi="zxx"/>
        </w:rPr>
        <w:t xml:space="preserve">                      </w:t>
        <w:tab/>
        <w:tab/>
        <w:tab/>
        <w:t xml:space="preserve">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84" w:name="Bookmark_Kópie_13"/>
      <w:bookmarkStart w:id="85" w:name="Bookmark_Kópie_13"/>
      <w:bookmarkEnd w:id="85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86" w:name="Bookmark_Kópie_13_Kópie_1"/>
      <w:bookmarkStart w:id="87" w:name="Bookmark_Kópie_12_Kópie_1_Kópie_1"/>
      <w:bookmarkStart w:id="88" w:name="__Fieldmark__12_1904378267"/>
      <w:bookmarkStart w:id="89" w:name="Bookmark_Kópie_13_Kópie_1"/>
      <w:bookmarkStart w:id="90" w:name="Bookmark_Kópie_13"/>
      <w:bookmarkEnd w:id="86"/>
      <w:bookmarkEnd w:id="87"/>
      <w:bookmarkEnd w:id="88"/>
      <w:bookmarkEnd w:id="89"/>
      <w:bookmarkEnd w:id="90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91" w:name="Bookmark_Kópie_14"/>
      <w:bookmarkStart w:id="92" w:name="Bookmark_Kópie_14"/>
      <w:bookmarkEnd w:id="92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93" w:name="Bookmark_Kópie_14_Kópie_1"/>
      <w:bookmarkStart w:id="94" w:name="Bookmark_Kópie_13_Kópie_1_Kópie_1"/>
      <w:bookmarkStart w:id="95" w:name="__Fieldmark__13_1904378267"/>
      <w:bookmarkStart w:id="96" w:name="Bookmark_Kópie_14_Kópie_1"/>
      <w:bookmarkStart w:id="97" w:name="Bookmark_Kópie_14"/>
      <w:bookmarkEnd w:id="93"/>
      <w:bookmarkEnd w:id="94"/>
      <w:bookmarkEnd w:id="95"/>
      <w:bookmarkEnd w:id="96"/>
      <w:bookmarkEnd w:id="97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  <w:t>nedokončeným investíciám</w:t>
      </w:r>
      <w:r>
        <w:rPr>
          <w:rFonts w:cs="Tahoma"/>
          <w:b/>
          <w:bCs/>
          <w:sz w:val="24"/>
          <w:szCs w:val="24"/>
          <w:lang w:bidi="zxx"/>
        </w:rPr>
        <w:t xml:space="preserve">  </w:t>
        <w:tab/>
        <w:tab/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  <w:lang w:bidi="zxx"/>
        </w:rPr>
        <w:instrText xml:space="preserve"> FORMCHECKBOX </w:instrText>
      </w:r>
      <w:r>
        <w:rPr>
          <w:sz w:val="24"/>
          <w:b/>
          <w:szCs w:val="24"/>
          <w:bCs/>
          <w:rFonts w:cs="Tahoma"/>
          <w:lang w:bidi="zxx"/>
        </w:rPr>
        <w:fldChar w:fldCharType="separate"/>
      </w:r>
      <w:bookmarkStart w:id="98" w:name="Bookmark_Kópie_15"/>
      <w:bookmarkStart w:id="99" w:name="Bookmark_Kópie_15"/>
      <w:bookmarkEnd w:id="99"/>
      <w:r>
        <w:rPr>
          <w:rFonts w:cs="Tahoma"/>
          <w:b/>
          <w:bCs/>
          <w:sz w:val="24"/>
          <w:szCs w:val="24"/>
          <w:lang w:bidi="zxx"/>
        </w:rPr>
      </w:r>
      <w:r>
        <w:rPr>
          <w:sz w:val="24"/>
          <w:b/>
          <w:szCs w:val="24"/>
          <w:bCs/>
          <w:rFonts w:cs="Tahoma"/>
          <w:lang w:bidi="zxx"/>
        </w:rPr>
        <w:fldChar w:fldCharType="end"/>
      </w:r>
      <w:bookmarkStart w:id="100" w:name="Bookmark_Kópie_15_Kópie_1"/>
      <w:bookmarkStart w:id="101" w:name="Bookmark_Kópie_14_Kópie_1_Kópie_1"/>
      <w:bookmarkStart w:id="102" w:name="__Fieldmark__14_1904378267"/>
      <w:bookmarkStart w:id="103" w:name="Bookmark_Kópie_15_Kópie_1"/>
      <w:bookmarkStart w:id="104" w:name="Bookmark_Kópie_15"/>
      <w:bookmarkEnd w:id="100"/>
      <w:bookmarkEnd w:id="101"/>
      <w:bookmarkEnd w:id="102"/>
      <w:bookmarkEnd w:id="103"/>
      <w:bookmarkEnd w:id="104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105" w:name="Bookmark_Kópie_16"/>
      <w:bookmarkStart w:id="106" w:name="Bookmark_Kópie_16"/>
      <w:bookmarkEnd w:id="106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107" w:name="Bookmark_Kópie_16_Kópie_1"/>
      <w:bookmarkStart w:id="108" w:name="Bookmark_Kópie_15_Kópie_1_Kópie_1"/>
      <w:bookmarkStart w:id="109" w:name="__Fieldmark__15_1904378267"/>
      <w:bookmarkStart w:id="110" w:name="Bookmark_Kópie_16_Kópie_1"/>
      <w:bookmarkStart w:id="111" w:name="Bookmark_Kópie_16"/>
      <w:bookmarkEnd w:id="107"/>
      <w:bookmarkEnd w:id="108"/>
      <w:bookmarkEnd w:id="109"/>
      <w:bookmarkEnd w:id="110"/>
      <w:bookmarkEnd w:id="111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  <w:t xml:space="preserve">dlhodobému finančnému majetku   </w:t>
        <w:tab/>
      </w:r>
      <w:r>
        <w:rPr>
          <w:rFonts w:cs="Tahoma"/>
          <w:b/>
          <w:bCs/>
          <w:sz w:val="24"/>
          <w:szCs w:val="24"/>
          <w:lang w:bidi="zxx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  <w:lang w:bidi="zxx"/>
        </w:rPr>
        <w:instrText xml:space="preserve"> FORMCHECKBOX </w:instrText>
      </w:r>
      <w:r>
        <w:rPr>
          <w:sz w:val="24"/>
          <w:b/>
          <w:szCs w:val="24"/>
          <w:bCs/>
          <w:rFonts w:cs="Tahoma"/>
          <w:lang w:bidi="zxx"/>
        </w:rPr>
        <w:fldChar w:fldCharType="separate"/>
      </w:r>
      <w:bookmarkStart w:id="112" w:name="Bookmark_Kópie_17"/>
      <w:bookmarkStart w:id="113" w:name="Bookmark_Kópie_17"/>
      <w:bookmarkEnd w:id="113"/>
      <w:r>
        <w:rPr>
          <w:rFonts w:cs="Tahoma"/>
          <w:b/>
          <w:bCs/>
          <w:sz w:val="24"/>
          <w:szCs w:val="24"/>
          <w:lang w:bidi="zxx"/>
        </w:rPr>
      </w:r>
      <w:r>
        <w:rPr>
          <w:sz w:val="24"/>
          <w:b/>
          <w:szCs w:val="24"/>
          <w:bCs/>
          <w:rFonts w:cs="Tahoma"/>
          <w:lang w:bidi="zxx"/>
        </w:rPr>
        <w:fldChar w:fldCharType="end"/>
      </w:r>
      <w:bookmarkStart w:id="114" w:name="Bookmark_Kópie_17_Kópie_1"/>
      <w:bookmarkStart w:id="115" w:name="Bookmark_Kópie_16_Kópie_1_Kópie_1"/>
      <w:bookmarkStart w:id="116" w:name="__Fieldmark__16_1904378267"/>
      <w:bookmarkStart w:id="117" w:name="Bookmark_Kópie_17_Kópie_1"/>
      <w:bookmarkStart w:id="118" w:name="Bookmark_Kópie_17"/>
      <w:bookmarkEnd w:id="114"/>
      <w:bookmarkEnd w:id="115"/>
      <w:bookmarkEnd w:id="116"/>
      <w:bookmarkEnd w:id="117"/>
      <w:bookmarkEnd w:id="118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119" w:name="Bookmark_Kópie_18"/>
      <w:bookmarkStart w:id="120" w:name="Bookmark_Kópie_18"/>
      <w:bookmarkEnd w:id="120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121" w:name="Bookmark_Kópie_18_Kópie_1"/>
      <w:bookmarkStart w:id="122" w:name="Bookmark_Kópie_17_Kópie_1_Kópie_1"/>
      <w:bookmarkStart w:id="123" w:name="__Fieldmark__17_1904378267"/>
      <w:bookmarkStart w:id="124" w:name="Bookmark_Kópie_18_Kópie_1"/>
      <w:bookmarkStart w:id="125" w:name="Bookmark_Kópie_18"/>
      <w:bookmarkEnd w:id="121"/>
      <w:bookmarkEnd w:id="122"/>
      <w:bookmarkEnd w:id="123"/>
      <w:bookmarkEnd w:id="124"/>
      <w:bookmarkEnd w:id="125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rFonts w:cs="Tahoma"/>
          <w:bCs/>
          <w:sz w:val="24"/>
          <w:szCs w:val="24"/>
          <w:lang w:bidi="zxx"/>
        </w:rPr>
      </w:pPr>
      <w:r>
        <w:rPr>
          <w:rFonts w:cs="Tahoma"/>
          <w:bCs/>
          <w:sz w:val="24"/>
          <w:szCs w:val="24"/>
          <w:lang w:bidi="zxx"/>
        </w:rPr>
        <w:t xml:space="preserve">zásobám                                     </w:t>
        <w:tab/>
      </w:r>
      <w:r>
        <w:rPr>
          <w:rFonts w:cs="Tahoma"/>
          <w:b/>
          <w:bCs/>
          <w:sz w:val="24"/>
          <w:szCs w:val="24"/>
          <w:lang w:bidi="zxx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  <w:lang w:bidi="zxx"/>
        </w:rPr>
        <w:instrText xml:space="preserve"> FORMCHECKBOX </w:instrText>
      </w:r>
      <w:r>
        <w:rPr>
          <w:sz w:val="24"/>
          <w:b/>
          <w:szCs w:val="24"/>
          <w:bCs/>
          <w:rFonts w:cs="Tahoma"/>
          <w:lang w:bidi="zxx"/>
        </w:rPr>
        <w:fldChar w:fldCharType="separate"/>
      </w:r>
      <w:bookmarkStart w:id="126" w:name="Bookmark_Kópie_19"/>
      <w:bookmarkStart w:id="127" w:name="Bookmark_Kópie_19"/>
      <w:bookmarkEnd w:id="127"/>
      <w:r>
        <w:rPr>
          <w:rFonts w:cs="Tahoma"/>
          <w:b/>
          <w:bCs/>
          <w:sz w:val="24"/>
          <w:szCs w:val="24"/>
          <w:lang w:bidi="zxx"/>
        </w:rPr>
      </w:r>
      <w:r>
        <w:rPr>
          <w:sz w:val="24"/>
          <w:b/>
          <w:szCs w:val="24"/>
          <w:bCs/>
          <w:rFonts w:cs="Tahoma"/>
          <w:lang w:bidi="zxx"/>
        </w:rPr>
        <w:fldChar w:fldCharType="end"/>
      </w:r>
      <w:bookmarkStart w:id="128" w:name="Bookmark_Kópie_19_Kópie_1"/>
      <w:bookmarkStart w:id="129" w:name="Bookmark_Kópie_18_Kópie_1_Kópie_1"/>
      <w:bookmarkStart w:id="130" w:name="__Fieldmark__18_1904378267"/>
      <w:bookmarkStart w:id="131" w:name="Bookmark_Kópie_19_Kópie_1"/>
      <w:bookmarkStart w:id="132" w:name="Bookmark_Kópie_19"/>
      <w:bookmarkEnd w:id="128"/>
      <w:bookmarkEnd w:id="129"/>
      <w:bookmarkEnd w:id="130"/>
      <w:bookmarkEnd w:id="131"/>
      <w:bookmarkEnd w:id="132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133" w:name="Bookmark_Kópie_20"/>
      <w:bookmarkStart w:id="134" w:name="Bookmark_Kópie_20"/>
      <w:bookmarkEnd w:id="134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135" w:name="Bookmark_Kópie_20_Kópie_1"/>
      <w:bookmarkStart w:id="136" w:name="Bookmark_Kópie_19_Kópie_1_Kópie_1"/>
      <w:bookmarkStart w:id="137" w:name="__Fieldmark__19_1904378267"/>
      <w:bookmarkStart w:id="138" w:name="Bookmark_Kópie_20_Kópie_1"/>
      <w:bookmarkStart w:id="139" w:name="Bookmark_Kópie_20"/>
      <w:bookmarkEnd w:id="135"/>
      <w:bookmarkEnd w:id="136"/>
      <w:bookmarkEnd w:id="137"/>
      <w:bookmarkEnd w:id="138"/>
      <w:bookmarkEnd w:id="139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Normal"/>
        <w:numPr>
          <w:ilvl w:val="0"/>
          <w:numId w:val="25"/>
        </w:numPr>
        <w:rPr>
          <w:b/>
          <w:color w:val="000000"/>
          <w:sz w:val="24"/>
          <w:szCs w:val="24"/>
        </w:rPr>
      </w:pPr>
      <w:r>
        <w:rPr>
          <w:rFonts w:cs="Tahoma"/>
          <w:bCs/>
          <w:sz w:val="24"/>
          <w:szCs w:val="24"/>
          <w:lang w:bidi="zxx"/>
        </w:rPr>
        <w:t xml:space="preserve">pohľadávkam                                     </w:t>
        <w:tab/>
      </w:r>
      <w:r>
        <w:rPr>
          <w:rFonts w:cs="Tahoma"/>
          <w:b/>
          <w:bCs/>
          <w:sz w:val="24"/>
          <w:szCs w:val="24"/>
          <w:lang w:bidi="zxx"/>
        </w:rPr>
        <w:tab/>
        <w:tab/>
        <w:t xml:space="preserve">                                   </w:t>
      </w:r>
      <w:r>
        <w:fldChar w:fldCharType="begin">
          <w:ffData>
            <w:name w:val=""/>
            <w:enabled/>
            <w:calcOnExit w:val="0"/>
            <w:checkBox>
              <w:sizeAuto/>
            </w:checkBox>
          </w:ffData>
        </w:fldChar>
      </w:r>
      <w:r>
        <w:rPr>
          <w:sz w:val="24"/>
          <w:b/>
          <w:szCs w:val="24"/>
          <w:bCs/>
          <w:rFonts w:cs="Tahoma"/>
          <w:lang w:bidi="zxx"/>
        </w:rPr>
        <w:instrText xml:space="preserve"> FORMCHECKBOX </w:instrText>
      </w:r>
      <w:r>
        <w:rPr>
          <w:sz w:val="24"/>
          <w:b/>
          <w:szCs w:val="24"/>
          <w:bCs/>
          <w:rFonts w:cs="Tahoma"/>
          <w:lang w:bidi="zxx"/>
        </w:rPr>
        <w:fldChar w:fldCharType="separate"/>
      </w:r>
      <w:bookmarkStart w:id="140" w:name="Bookmark_Kópie_21"/>
      <w:bookmarkStart w:id="141" w:name="Bookmark_Kópie_21"/>
      <w:bookmarkEnd w:id="141"/>
      <w:r>
        <w:rPr>
          <w:rFonts w:cs="Tahoma"/>
          <w:b/>
          <w:bCs/>
          <w:sz w:val="24"/>
          <w:szCs w:val="24"/>
          <w:lang w:bidi="zxx"/>
        </w:rPr>
      </w:r>
      <w:r>
        <w:rPr>
          <w:sz w:val="24"/>
          <w:b/>
          <w:szCs w:val="24"/>
          <w:bCs/>
          <w:rFonts w:cs="Tahoma"/>
          <w:lang w:bidi="zxx"/>
        </w:rPr>
        <w:fldChar w:fldCharType="end"/>
      </w:r>
      <w:bookmarkStart w:id="142" w:name="Bookmark_Kópie_21_Kópie_1"/>
      <w:bookmarkStart w:id="143" w:name="Bookmark_Kópie_20_Kópie_1_Kópie_1"/>
      <w:bookmarkStart w:id="144" w:name="__Fieldmark__20_1904378267"/>
      <w:bookmarkStart w:id="145" w:name="Bookmark_Kópie_21_Kópie_1"/>
      <w:bookmarkStart w:id="146" w:name="Bookmark_Kópie_21"/>
      <w:bookmarkEnd w:id="142"/>
      <w:bookmarkEnd w:id="143"/>
      <w:bookmarkEnd w:id="144"/>
      <w:bookmarkEnd w:id="145"/>
      <w:bookmarkEnd w:id="146"/>
      <w:r>
        <w:rPr>
          <w:rFonts w:cs="Tahoma"/>
          <w:b/>
          <w:bCs/>
          <w:sz w:val="22"/>
          <w:szCs w:val="22"/>
          <w:lang w:bidi="zxx"/>
        </w:rPr>
        <w:t xml:space="preserve">  áno            </w:t>
      </w:r>
      <w:r>
        <w:fldChar w:fldCharType="begin">
          <w:ffData>
            <w:name w:val=""/>
            <w:enabled/>
            <w:calcOnExit w:val="0"/>
            <w:checkBox>
              <w:sizeAuto/>
              <w:checked/>
            </w:checkBox>
          </w:ffData>
        </w:fldChar>
      </w:r>
      <w:r>
        <w:rPr>
          <w:sz w:val="22"/>
          <w:b/>
          <w:szCs w:val="22"/>
          <w:bCs/>
          <w:rFonts w:cs="Tahoma"/>
          <w:lang w:bidi="zxx"/>
        </w:rPr>
        <w:instrText xml:space="preserve"> FORMCHECKBOX </w:instrText>
      </w:r>
      <w:r>
        <w:rPr>
          <w:sz w:val="22"/>
          <w:b/>
          <w:szCs w:val="22"/>
          <w:bCs/>
          <w:rFonts w:cs="Tahoma"/>
          <w:lang w:bidi="zxx"/>
        </w:rPr>
        <w:fldChar w:fldCharType="separate"/>
      </w:r>
      <w:bookmarkStart w:id="147" w:name="Bookmark_Kópie_22"/>
      <w:bookmarkStart w:id="148" w:name="Bookmark_Kópie_22"/>
      <w:bookmarkEnd w:id="148"/>
      <w:r>
        <w:rPr>
          <w:rFonts w:cs="Tahoma"/>
          <w:b/>
          <w:bCs/>
          <w:sz w:val="22"/>
          <w:szCs w:val="22"/>
          <w:lang w:bidi="zxx"/>
        </w:rPr>
      </w:r>
      <w:r>
        <w:rPr>
          <w:sz w:val="22"/>
          <w:b/>
          <w:szCs w:val="22"/>
          <w:bCs/>
          <w:rFonts w:cs="Tahoma"/>
          <w:lang w:bidi="zxx"/>
        </w:rPr>
        <w:fldChar w:fldCharType="end"/>
      </w:r>
      <w:bookmarkStart w:id="149" w:name="Bookmark_Kópie_22_Kópie_1"/>
      <w:bookmarkStart w:id="150" w:name="Bookmark_Kópie_21_Kópie_1_Kópie_1"/>
      <w:bookmarkStart w:id="151" w:name="__Fieldmark__21_1904378267"/>
      <w:bookmarkStart w:id="152" w:name="Bookmark_Kópie_22_Kópie_1"/>
      <w:bookmarkStart w:id="153" w:name="Bookmark_Kópie_22"/>
      <w:bookmarkEnd w:id="149"/>
      <w:bookmarkEnd w:id="150"/>
      <w:bookmarkEnd w:id="151"/>
      <w:bookmarkEnd w:id="152"/>
      <w:bookmarkEnd w:id="153"/>
      <w:r>
        <w:rPr>
          <w:rFonts w:cs="Tahoma"/>
          <w:b/>
          <w:bCs/>
          <w:sz w:val="22"/>
          <w:szCs w:val="22"/>
          <w:lang w:bidi="zxx"/>
        </w:rPr>
        <w:t xml:space="preserve">  nie</w:t>
      </w:r>
    </w:p>
    <w:p>
      <w:pPr>
        <w:pStyle w:val="Telotextu"/>
        <w:ind w:left="0" w:right="0" w:hanging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Telotextu"/>
        <w:ind w:left="0" w:right="0" w:hanging="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hlavnej činnosti,</w:t>
      </w:r>
      <w:r>
        <w:rPr>
          <w:color w:val="000000"/>
          <w:sz w:val="24"/>
          <w:szCs w:val="24"/>
        </w:rPr>
        <w:t xml:space="preserve"> pri ktorých je riziko, že ich dlžník úplne </w:t>
      </w:r>
      <w:r>
        <w:rPr>
          <w:sz w:val="24"/>
          <w:szCs w:val="24"/>
        </w:rPr>
        <w:t>alebo</w:t>
      </w:r>
      <w:r>
        <w:rPr>
          <w:color w:val="000000"/>
          <w:sz w:val="24"/>
          <w:szCs w:val="24"/>
        </w:rPr>
        <w:t xml:space="preserve"> čiastočne nezaplatí, ak od splatnosti pohľadávky uplynula doba dlhšia ako:</w:t>
      </w:r>
    </w:p>
    <w:p>
      <w:pPr>
        <w:pStyle w:val="Normal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Telotextu"/>
        <w:ind w:left="0" w:right="0" w:hanging="0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Účtovná jednotka ne</w:t>
      </w:r>
      <w:r>
        <w:rPr>
          <w:color w:val="000000"/>
          <w:sz w:val="24"/>
          <w:szCs w:val="24"/>
          <w:u w:val="single"/>
        </w:rPr>
        <w:t>tvorila opravné položky k pohľadávkam v rámci podnikateľskej činnosti</w:t>
      </w:r>
      <w:r>
        <w:rPr>
          <w:color w:val="000000"/>
          <w:sz w:val="24"/>
          <w:szCs w:val="24"/>
        </w:rPr>
        <w:t xml:space="preserve">, podľa ustanovenia § 20  zákona č.595/2003 Z.z. o dani z príjmov v z.n.p.. </w:t>
      </w:r>
    </w:p>
    <w:p>
      <w:pPr>
        <w:pStyle w:val="Telotextu"/>
        <w:ind w:left="0" w:right="0" w:hanging="0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right="0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Zásady pre vykazovanie transferov.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O nároku na dotácie zo štátneho rozpočtu sa účtuje, ak je takmer isté, že sa splnia všetky podmienky súvisiace s dotáciou a súčasne, že sa dotácia poskytne.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both"/>
        <w:rPr>
          <w:sz w:val="24"/>
          <w:szCs w:val="24"/>
        </w:rPr>
      </w:pPr>
      <w:r>
        <w:rPr>
          <w:b/>
          <w:sz w:val="24"/>
          <w:szCs w:val="24"/>
        </w:rPr>
        <w:t>Bežný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 nákladmi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 výdavkami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</w:t>
      </w:r>
    </w:p>
    <w:p>
      <w:pPr>
        <w:pStyle w:val="Normal"/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pri poskytnutí  transferu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  <w:t>Kapitálový transfer</w:t>
      </w:r>
      <w:r>
        <w:rPr>
          <w:sz w:val="24"/>
          <w:szCs w:val="24"/>
        </w:rPr>
        <w:t xml:space="preserve"> 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cudzích subjektov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prijatý od </w:t>
      </w:r>
      <w:r>
        <w:rPr>
          <w:sz w:val="24"/>
          <w:szCs w:val="24"/>
          <w:u w:val="single"/>
        </w:rPr>
        <w:t>zriaďovateľa</w:t>
      </w:r>
      <w:r>
        <w:rPr>
          <w:sz w:val="24"/>
          <w:szCs w:val="24"/>
        </w:rPr>
        <w:t xml:space="preserve"> - sa  zúčtuje do výnosov  vo vecnej a časovej súvislosti s nákladmi (napr. s odpismi, s opravnou položkou, so zostatkovou hodnotou vyradeného dlhodobého majetku). </w:t>
      </w:r>
    </w:p>
    <w:p>
      <w:pPr>
        <w:pStyle w:val="Normal"/>
        <w:numPr>
          <w:ilvl w:val="0"/>
          <w:numId w:val="2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cudzím subjektom</w:t>
      </w:r>
      <w:r>
        <w:rPr>
          <w:sz w:val="24"/>
          <w:szCs w:val="24"/>
        </w:rPr>
        <w:t xml:space="preserve"> - sa  zúčtuje do nákladov po splnení podmienok. </w:t>
      </w:r>
    </w:p>
    <w:p>
      <w:pPr>
        <w:pStyle w:val="Normal"/>
        <w:numPr>
          <w:ilvl w:val="0"/>
          <w:numId w:val="25"/>
        </w:numPr>
        <w:jc w:val="both"/>
        <w:rPr>
          <w:b/>
          <w:sz w:val="24"/>
          <w:szCs w:val="24"/>
        </w:rPr>
      </w:pPr>
      <w:r>
        <w:rPr>
          <w:sz w:val="24"/>
          <w:szCs w:val="24"/>
        </w:rPr>
        <w:t xml:space="preserve">poskytnutý </w:t>
      </w:r>
      <w:r>
        <w:rPr>
          <w:sz w:val="24"/>
          <w:szCs w:val="24"/>
          <w:u w:val="single"/>
        </w:rPr>
        <w:t>vlastným subjektom</w:t>
      </w:r>
      <w:r>
        <w:rPr>
          <w:sz w:val="24"/>
          <w:szCs w:val="24"/>
        </w:rPr>
        <w:t xml:space="preserve"> - sa  zúčtuje do nákladov vo vecnej a časovej súvislosti s  nákladmi účtovanými v organizáciách v zriaďovateľskej pôsobnosti obce/mesta. </w:t>
      </w:r>
    </w:p>
    <w:p>
      <w:pPr>
        <w:pStyle w:val="Normal"/>
        <w:jc w:val="both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Normal"/>
        <w:numPr>
          <w:ilvl w:val="0"/>
          <w:numId w:val="4"/>
        </w:numPr>
        <w:tabs>
          <w:tab w:val="clear" w:pos="708"/>
          <w:tab w:val="left" w:pos="284" w:leader="none"/>
        </w:tabs>
        <w:ind w:left="284" w:right="0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>Spôsob prepočtu údajov v cudzích menách na menu euro.</w:t>
      </w:r>
    </w:p>
    <w:p>
      <w:pPr>
        <w:pStyle w:val="Telotextu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Majetok a záväzky vyjadrené v cudzej mene sa ku dňu uskutočnenia účtovného prípadu prepočítavajú na menu euro referenčným výmenným kurzom určeným a vyhláseným Európskou centrálnou bankou alebo Národnou bankou Slovenska v deň predchádzajúci dňu uskutočnenia účtovného prípadu. </w:t>
      </w:r>
    </w:p>
    <w:p>
      <w:pPr>
        <w:pStyle w:val="Telotextu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>Na ocenenie prírastku cudzej meny nakúpenej za euro sa použije kurz, za ktorý bola táto cudzia mena nakúpená.</w:t>
      </w:r>
    </w:p>
    <w:p>
      <w:pPr>
        <w:pStyle w:val="Telotextu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Na úbytok rovnakej cudzej meny v hotovosti alebo z devízového účtu sa na prepočet cudzej meny na eurá použije referenčný výmenný kurz určený a vyhlásený Európskou centrálnou bankou alebo Národnou bankou Slovenska v deň predchádzajúci dňu uskutočnenia účtovného prípadu. </w:t>
      </w:r>
    </w:p>
    <w:p>
      <w:pPr>
        <w:pStyle w:val="Telotextu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Majetok a záväzky vyjadrené v cudzej mene (okrem prijatých a poskytnutých preddavkov) sa ku dňu, ku ktorému sa zostavuje účtovná závierka, prepočítavajú na menu euro referenčným výmenným kurzom určeným a vyhláseným Európskou centrálnou bankou alebo Národnou bankou Slovenska v deň, ku ktorému sa zostavuje účtovná závierka, a účtujú sa s vplyvom na výsledok hospodárenia. </w:t>
      </w:r>
    </w:p>
    <w:p>
      <w:pPr>
        <w:pStyle w:val="Telotextu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prostredníctvom účtu vedeného v tejto cudzej mene sa prepočítavajú na menu euro referenčným výmenným kurzom určeným a vyhláseným Európskou centrálnou bankou alebo Národnou bankou Slovenska v deň predchádzajúci dňu uskutočnenia účtovného prípadu. Ku dňu, ku ktorému sa zostavuje účtovná závierka, sa už neprepočítavajú. </w:t>
      </w:r>
    </w:p>
    <w:p>
      <w:pPr>
        <w:pStyle w:val="Telotextu"/>
        <w:ind w:left="0" w:right="0" w:hanging="0"/>
        <w:rPr>
          <w:sz w:val="24"/>
          <w:szCs w:val="24"/>
        </w:rPr>
      </w:pPr>
      <w:r>
        <w:rPr>
          <w:sz w:val="24"/>
          <w:szCs w:val="24"/>
        </w:rPr>
        <w:t xml:space="preserve">Prijaté a poskytnuté preddavky v cudzej mene na účet zriadený v eurách a z účtu zriadeného v eurách sa prepočítavajú na menu euro kurzom, za ktorý boli tieto hodnoty nakúpené alebo predané. Ku dňu, ku ktorému sa zostavuje účtovná závierka, sa už neprepočítavajú. </w:t>
      </w:r>
    </w:p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III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aktív súvahy</w:t>
      </w:r>
    </w:p>
    <w:p>
      <w:pPr>
        <w:pStyle w:val="Pismenka"/>
        <w:tabs>
          <w:tab w:val="clear" w:pos="426"/>
        </w:tabs>
        <w:ind w:left="425" w:right="0" w:hanging="425"/>
        <w:rPr>
          <w:sz w:val="24"/>
          <w:szCs w:val="24"/>
        </w:rPr>
      </w:pPr>
      <w:r>
        <w:rPr>
          <w:sz w:val="24"/>
          <w:szCs w:val="24"/>
        </w:rPr>
        <w:t>A Neobežný majetok</w:t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284" w:leader="none"/>
        </w:tabs>
        <w:ind w:left="284" w:right="0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nehmotný majetok a dlhodobý hmotný majetok </w:t>
      </w:r>
    </w:p>
    <w:p>
      <w:pPr>
        <w:pStyle w:val="Pismenka"/>
        <w:numPr>
          <w:ilvl w:val="0"/>
          <w:numId w:val="26"/>
        </w:numPr>
        <w:ind w:left="284" w:right="0" w:hanging="284"/>
        <w:rPr>
          <w:b w:val="false"/>
          <w:color w:val="FF0000"/>
          <w:sz w:val="24"/>
          <w:szCs w:val="24"/>
        </w:rPr>
      </w:pPr>
      <w:r>
        <w:rPr>
          <w:sz w:val="24"/>
          <w:szCs w:val="24"/>
        </w:rPr>
        <w:t xml:space="preserve">prehľad o pohybe dlhodobého majetku </w:t>
      </w:r>
      <w:r>
        <w:rPr>
          <w:b w:val="false"/>
          <w:sz w:val="24"/>
          <w:szCs w:val="24"/>
        </w:rPr>
        <w:t>(tabuľka č.1)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color w:val="FF0000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..................................................................................................................………………………………</w:t>
      </w:r>
      <w:r>
        <w:rPr>
          <w:b w:val="false"/>
          <w:color w:val="FF0000"/>
          <w:sz w:val="24"/>
          <w:szCs w:val="24"/>
        </w:rPr>
        <w:t>.</w:t>
      </w:r>
    </w:p>
    <w:p>
      <w:pPr>
        <w:pStyle w:val="Pismenka"/>
        <w:tabs>
          <w:tab w:val="clear" w:pos="426"/>
        </w:tabs>
        <w:ind w:left="425" w:right="0" w:hanging="425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numPr>
          <w:ilvl w:val="0"/>
          <w:numId w:val="26"/>
        </w:numPr>
        <w:ind w:left="284" w:right="0" w:hanging="284"/>
        <w:rPr>
          <w:b w:val="false"/>
          <w:sz w:val="24"/>
          <w:szCs w:val="24"/>
        </w:rPr>
      </w:pPr>
      <w:r>
        <w:rPr>
          <w:sz w:val="24"/>
          <w:szCs w:val="24"/>
        </w:rPr>
        <w:t xml:space="preserve">spôsob a výška poistenia </w:t>
      </w:r>
      <w:r>
        <w:rPr>
          <w:b w:val="false"/>
          <w:sz w:val="24"/>
          <w:szCs w:val="24"/>
        </w:rPr>
        <w:t xml:space="preserve">dlhodobého nehmotného majetku a dlhodobého hmotného majetku </w:t>
      </w:r>
    </w:p>
    <w:p>
      <w:pPr>
        <w:pStyle w:val="Pismenka"/>
        <w:tabs>
          <w:tab w:val="clear" w:pos="426"/>
        </w:tabs>
        <w:ind w:left="284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539"/>
        <w:gridCol w:w="3544"/>
        <w:gridCol w:w="3243"/>
      </w:tblGrid>
      <w:tr>
        <w:trPr/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poisteného majetku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Spôsob poistenia,</w:t>
            </w:r>
          </w:p>
          <w:p>
            <w:pPr>
              <w:pStyle w:val="Normal"/>
              <w:widowControl w:val="false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hodnota poisteného majetku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35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Dlhodobý majetok obce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color w:val="000000"/>
              </w:rPr>
            </w:pPr>
            <w:r>
              <w:rPr>
                <w:color w:val="000000"/>
              </w:rPr>
              <w:t>Poistenie pre prípad odcudzenia</w:t>
            </w:r>
          </w:p>
        </w:tc>
        <w:tc>
          <w:tcPr>
            <w:tcW w:w="32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585,14 Eur</w:t>
            </w:r>
          </w:p>
        </w:tc>
      </w:tr>
    </w:tbl>
    <w:p>
      <w:pPr>
        <w:pStyle w:val="Normal"/>
        <w:ind w:left="426" w:right="0" w:hanging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left="426" w:right="0" w:hanging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left="426" w:right="0" w:hanging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ind w:left="426" w:right="0" w:hanging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6"/>
        </w:numPr>
        <w:ind w:left="284" w:right="0" w:hanging="284"/>
        <w:rPr>
          <w:color w:val="FF0000"/>
          <w:sz w:val="24"/>
          <w:szCs w:val="24"/>
        </w:rPr>
      </w:pPr>
      <w:r>
        <w:rPr>
          <w:sz w:val="24"/>
          <w:szCs w:val="24"/>
        </w:rPr>
        <w:t xml:space="preserve">zriadenie záložného práva </w:t>
      </w:r>
      <w:r>
        <w:rPr>
          <w:b w:val="false"/>
          <w:sz w:val="24"/>
          <w:szCs w:val="24"/>
        </w:rPr>
        <w:t>na dlhodobý nehmotný majetok a dlhodobý hmotný majetok alebo obmedzenie práva nakladať s dlhodobým majetkom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551"/>
        <w:gridCol w:w="2552"/>
        <w:gridCol w:w="1843"/>
        <w:gridCol w:w="3379"/>
      </w:tblGrid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Predmet záložného práva</w:t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Záložné právo v prospech</w:t>
            </w:r>
          </w:p>
        </w:tc>
      </w:tr>
      <w:tr>
        <w:trPr/>
        <w:tc>
          <w:tcPr>
            <w:tcW w:w="25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5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3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Pismenka"/>
        <w:numPr>
          <w:ilvl w:val="0"/>
          <w:numId w:val="26"/>
        </w:numPr>
        <w:ind w:left="284" w:right="0" w:hanging="284"/>
        <w:rPr>
          <w:b/>
        </w:rPr>
      </w:pPr>
      <w:r>
        <w:rPr>
          <w:sz w:val="24"/>
          <w:szCs w:val="24"/>
        </w:rPr>
        <w:t xml:space="preserve">opis a hodnota dlhodobého majetku vo vlastníctve účtovnej jednotky alebo v správe účtovnej jednotky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9"/>
        <w:gridCol w:w="5106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Majetok,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ku ktorému</w:t>
            </w:r>
            <w:r>
              <w:rPr>
                <w:b/>
              </w:rPr>
              <w:t xml:space="preserve"> má</w:t>
            </w:r>
            <w:r>
              <w:rPr/>
              <w:t xml:space="preserve"> účtovná jednotka vlastnícke právo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Pozemky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145961,67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Budovy, stavby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343165,83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Stroje, prístroje, zariadenia, inventár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258084,33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Dopravné prostriedky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3385,78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  <w:szCs w:val="24"/>
              </w:rPr>
            </w:pPr>
            <w:r>
              <w:rPr>
                <w:b/>
                <w:sz w:val="24"/>
                <w:szCs w:val="24"/>
              </w:rPr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26"/>
        </w:numPr>
        <w:ind w:left="284" w:right="0" w:hanging="284"/>
        <w:rPr>
          <w:b/>
          <w:sz w:val="24"/>
          <w:szCs w:val="24"/>
        </w:rPr>
      </w:pPr>
      <w:r>
        <w:rPr>
          <w:b w:val="false"/>
          <w:sz w:val="24"/>
          <w:szCs w:val="24"/>
        </w:rPr>
        <w:t>opis a hodnota majetku, ku ktorému účtovná jednotka nemá vlastnícke právo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9"/>
        <w:gridCol w:w="5106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>
                <w:b/>
                <w:sz w:val="24"/>
                <w:szCs w:val="24"/>
              </w:rPr>
              <w:t xml:space="preserve">  </w:t>
            </w:r>
            <w:r>
              <w:rPr>
                <w:b/>
              </w:rPr>
              <w:t>Majetok,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 xml:space="preserve">ku ktorému </w:t>
            </w:r>
            <w:r>
              <w:rPr>
                <w:b/>
              </w:rPr>
              <w:t>nemá</w:t>
            </w:r>
            <w:r>
              <w:rPr/>
              <w:t xml:space="preserve"> účtovná jednotka vlastnícke právo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Majetok, ktorý využíva účtovná jednotka na základe zmluvy</w:t>
            </w:r>
          </w:p>
          <w:p>
            <w:pPr>
              <w:pStyle w:val="Normal"/>
              <w:widowControl w:val="false"/>
              <w:rPr>
                <w:color w:val="FF0000"/>
              </w:rPr>
            </w:pPr>
            <w:r>
              <w:rPr/>
              <w:t xml:space="preserve"> </w:t>
            </w:r>
            <w:r>
              <w:rPr/>
              <w:t>o výpožičke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ind w:left="459" w:right="0" w:hanging="141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  <w:p>
            <w:pPr>
              <w:pStyle w:val="Normal"/>
              <w:widowControl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Majetok, ktorý využíva účtovná jednotka na základe zmluvy</w:t>
            </w:r>
          </w:p>
          <w:p>
            <w:pPr>
              <w:pStyle w:val="Normal"/>
              <w:widowControl w:val="false"/>
              <w:rPr>
                <w:color w:val="FF0000"/>
              </w:rPr>
            </w:pPr>
            <w:r>
              <w:rPr/>
              <w:t>o finančnom prenájme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ind w:left="459" w:right="0" w:hanging="141"/>
              <w:rPr>
                <w:color w:val="FF0000"/>
              </w:rPr>
            </w:pPr>
            <w:r>
              <w:rPr>
                <w:color w:val="FF0000"/>
              </w:rPr>
              <w:t>..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  <w:sz w:val="24"/>
                <w:szCs w:val="24"/>
              </w:rPr>
            </w:pPr>
            <w:r>
              <w:rPr>
                <w:b/>
                <w:color w:val="FF0000"/>
                <w:sz w:val="24"/>
                <w:szCs w:val="24"/>
              </w:rPr>
            </w:r>
          </w:p>
        </w:tc>
      </w:tr>
    </w:tbl>
    <w:p>
      <w:pPr>
        <w:pStyle w:val="Pismenka"/>
        <w:tabs>
          <w:tab w:val="clear" w:pos="426"/>
        </w:tabs>
        <w:ind w:left="284" w:right="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tabs>
          <w:tab w:val="clear" w:pos="426"/>
        </w:tabs>
        <w:ind w:left="284" w:right="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tabs>
          <w:tab w:val="clear" w:pos="426"/>
        </w:tabs>
        <w:ind w:left="284" w:right="0" w:hanging="0"/>
        <w:rPr>
          <w:b/>
          <w:sz w:val="24"/>
          <w:szCs w:val="24"/>
        </w:rPr>
      </w:pPr>
      <w:r>
        <w:rPr>
          <w:b/>
          <w:sz w:val="24"/>
          <w:szCs w:val="24"/>
        </w:rPr>
      </w:r>
    </w:p>
    <w:p>
      <w:pPr>
        <w:pStyle w:val="Pismenka"/>
        <w:numPr>
          <w:ilvl w:val="0"/>
          <w:numId w:val="26"/>
        </w:numPr>
        <w:ind w:left="284" w:right="0" w:hanging="284"/>
        <w:rPr>
          <w:color w:val="FF0000"/>
          <w:sz w:val="24"/>
          <w:szCs w:val="24"/>
        </w:rPr>
      </w:pPr>
      <w:r>
        <w:rPr>
          <w:b w:val="false"/>
          <w:sz w:val="24"/>
          <w:szCs w:val="24"/>
        </w:rPr>
        <w:t>opis dôvodov</w:t>
      </w:r>
      <w:r>
        <w:rPr>
          <w:sz w:val="24"/>
          <w:szCs w:val="24"/>
        </w:rPr>
        <w:t xml:space="preserve"> zvýšenia, zníženia a zrušenia opravných položiek </w:t>
      </w:r>
      <w:r>
        <w:rPr>
          <w:b w:val="false"/>
          <w:sz w:val="24"/>
          <w:szCs w:val="24"/>
        </w:rPr>
        <w:t>k dlhodobému nehmotnému majetku a dlhodobému hmotnému majetku.</w:t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tbl>
      <w:tblPr>
        <w:tblW w:w="104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3"/>
        <w:gridCol w:w="851"/>
        <w:gridCol w:w="851"/>
        <w:gridCol w:w="850"/>
        <w:gridCol w:w="1134"/>
        <w:gridCol w:w="3346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DM, ku ktorému bola tvorená opravná položka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Zvýšenie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31.12.2023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Normal"/>
        <w:ind w:left="284" w:right="0" w:hanging="0"/>
        <w:jc w:val="both"/>
        <w:rPr>
          <w:color w:val="FF0000"/>
          <w:sz w:val="24"/>
          <w:szCs w:val="24"/>
        </w:rPr>
      </w:pPr>
      <w:r>
        <w:rPr>
          <w:color w:val="FF0000"/>
          <w:sz w:val="24"/>
          <w:szCs w:val="24"/>
        </w:rPr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284" w:leader="none"/>
        </w:tabs>
        <w:ind w:left="284" w:right="0" w:hanging="284"/>
        <w:jc w:val="both"/>
        <w:rPr>
          <w:sz w:val="24"/>
          <w:szCs w:val="24"/>
        </w:rPr>
      </w:pPr>
      <w:r>
        <w:rPr>
          <w:b/>
          <w:sz w:val="24"/>
          <w:szCs w:val="24"/>
        </w:rPr>
        <w:t xml:space="preserve">Dlhodobý finančný majetok </w:t>
      </w:r>
    </w:p>
    <w:p>
      <w:pPr>
        <w:pStyle w:val="Pismenka"/>
        <w:numPr>
          <w:ilvl w:val="0"/>
          <w:numId w:val="19"/>
        </w:numPr>
        <w:ind w:left="284" w:right="0" w:hanging="284"/>
        <w:rPr/>
      </w:pPr>
      <w:r>
        <w:rPr>
          <w:sz w:val="24"/>
          <w:szCs w:val="24"/>
        </w:rPr>
        <w:t>prehľad o pohybe dlhodobého finančného majetku</w:t>
      </w:r>
      <w:r>
        <w:rPr>
          <w:b w:val="false"/>
          <w:sz w:val="24"/>
          <w:szCs w:val="24"/>
        </w:rPr>
        <w:t xml:space="preserve"> - tabuľka č.1</w:t>
      </w:r>
    </w:p>
    <w:p>
      <w:pPr>
        <w:pStyle w:val="Pismenka"/>
        <w:tabs>
          <w:tab w:val="clear" w:pos="426"/>
        </w:tabs>
        <w:ind w:left="0" w:right="0" w:hanging="0"/>
        <w:rPr/>
      </w:pPr>
      <w:r>
        <w:rPr/>
      </w:r>
    </w:p>
    <w:p>
      <w:pPr>
        <w:pStyle w:val="Pismenka"/>
        <w:tabs>
          <w:tab w:val="clear" w:pos="426"/>
        </w:tabs>
        <w:ind w:left="0" w:right="0" w:hanging="0"/>
        <w:rPr/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numPr>
          <w:ilvl w:val="0"/>
          <w:numId w:val="19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>opis dôvodov zvýšenia, zníženia a zrušenia opravných položiek k dlhodobému finančnému</w:t>
      </w:r>
      <w:r>
        <w:rPr/>
        <w:t xml:space="preserve">  majetku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3"/>
        <w:gridCol w:w="2087"/>
        <w:gridCol w:w="5056"/>
      </w:tblGrid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DFM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284" w:leader="none"/>
        </w:tabs>
        <w:ind w:left="284" w:right="0" w:hanging="284"/>
        <w:jc w:val="both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Majetkové podiely účtovnej jednotky v iných spoločnostiach 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Informácia o spoločnostiach, v ktorých má účtovná jednotka majetkový podiel (riadky 025 až 026 súvahy):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1843"/>
        <w:gridCol w:w="708"/>
        <w:gridCol w:w="1135"/>
        <w:gridCol w:w="993"/>
        <w:gridCol w:w="992"/>
        <w:gridCol w:w="1132"/>
        <w:gridCol w:w="1134"/>
        <w:gridCol w:w="1135"/>
        <w:gridCol w:w="1253"/>
      </w:tblGrid>
      <w:tr>
        <w:trPr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pacing w:lineRule="auto" w:line="360"/>
              <w:jc w:val="center"/>
              <w:rPr/>
            </w:pPr>
            <w:r>
              <w:rPr>
                <w:b/>
              </w:rPr>
              <w:t xml:space="preserve"> </w:t>
            </w:r>
            <w:r>
              <w:rPr>
                <w:sz w:val="18"/>
                <w:szCs w:val="18"/>
              </w:rPr>
              <w:t>Názov spoločnosti</w:t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Právna forma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Základné imanie (ZI) spoločnosti v peňažných jednotkách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 ÚJ na základnom imaní (ZI) spoločnosti v %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Podiel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ÚJ na hlasovacích právach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 %</w:t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 spoločnosti v eurách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Hodnota vlastného imania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spoločnosti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 eurách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2023</w:t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Účtovná hodnota vykázaná v súvahe ÚJ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 31.12.</w:t>
            </w:r>
          </w:p>
          <w:p>
            <w:pPr>
              <w:pStyle w:val="Normal"/>
              <w:widowControl w:val="false"/>
              <w:jc w:val="center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2022</w:t>
            </w:r>
          </w:p>
        </w:tc>
      </w:tr>
      <w:tr>
        <w:trPr/>
        <w:tc>
          <w:tcPr>
            <w:tcW w:w="18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70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99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1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1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125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Normal"/>
        <w:ind w:left="284" w:right="0" w:hanging="0"/>
        <w:jc w:val="both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16"/>
        </w:numPr>
        <w:tabs>
          <w:tab w:val="clear" w:pos="708"/>
          <w:tab w:val="left" w:pos="284" w:leader="none"/>
        </w:tabs>
        <w:ind w:left="284" w:right="0" w:hanging="284"/>
        <w:jc w:val="both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Dlhové cenné papiere a realizovateľné cenné papiere, dlhodobé pôžičky a ostatný dlhodobý finančný majetok </w:t>
      </w:r>
    </w:p>
    <w:p>
      <w:pPr>
        <w:pStyle w:val="Pismenka"/>
        <w:numPr>
          <w:ilvl w:val="0"/>
          <w:numId w:val="20"/>
        </w:numPr>
        <w:ind w:left="284" w:right="0" w:hanging="284"/>
        <w:rPr/>
      </w:pPr>
      <w:r>
        <w:rPr>
          <w:b w:val="false"/>
          <w:sz w:val="24"/>
          <w:szCs w:val="24"/>
        </w:rPr>
        <w:t xml:space="preserve">dlhové cenné papiere držané do splatnosti a realizovateľné cenné papiere (riadky 027 až 028 súvahy): 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35"/>
        <w:gridCol w:w="905"/>
        <w:gridCol w:w="1080"/>
        <w:gridCol w:w="1260"/>
        <w:gridCol w:w="1080"/>
        <w:gridCol w:w="1804"/>
        <w:gridCol w:w="1861"/>
      </w:tblGrid>
      <w:tr>
        <w:trPr/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Názov emitenta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Druh cenného papiera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Mena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cenného papiera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Výnos 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2022</w:t>
            </w:r>
          </w:p>
        </w:tc>
      </w:tr>
      <w:tr>
        <w:trPr/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Stredoslovenská vodárenská spoločnosť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71135,00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58990,00</w:t>
            </w:r>
          </w:p>
        </w:tc>
      </w:tr>
      <w:tr>
        <w:trPr/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0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</w:tbl>
    <w:p>
      <w:pPr>
        <w:pStyle w:val="Pismenka"/>
        <w:tabs>
          <w:tab w:val="clear" w:pos="426"/>
        </w:tabs>
        <w:ind w:left="284" w:right="0" w:hanging="0"/>
        <w:rPr/>
      </w:pPr>
      <w:r>
        <w:rPr/>
      </w:r>
    </w:p>
    <w:p>
      <w:pPr>
        <w:pStyle w:val="Pismenka"/>
        <w:numPr>
          <w:ilvl w:val="0"/>
          <w:numId w:val="20"/>
        </w:numPr>
        <w:ind w:left="284" w:right="0" w:hanging="284"/>
        <w:rPr/>
      </w:pPr>
      <w:r>
        <w:rPr>
          <w:b w:val="false"/>
          <w:sz w:val="24"/>
          <w:szCs w:val="24"/>
        </w:rPr>
        <w:t>dlhodobé pôžičky (riadky 029 až 030 súvahy)</w:t>
      </w:r>
      <w:r>
        <w:rPr/>
        <w:t xml:space="preserve">: 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335"/>
        <w:gridCol w:w="905"/>
        <w:gridCol w:w="1080"/>
        <w:gridCol w:w="1260"/>
        <w:gridCol w:w="1620"/>
        <w:gridCol w:w="1620"/>
        <w:gridCol w:w="1505"/>
      </w:tblGrid>
      <w:tr>
        <w:trPr/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Názov dlžníka</w:t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Výnos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v %</w:t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Mena</w:t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Dátum splatnosti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2023</w:t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Účtovná hodnota vykázaná v súvahe účtovnej jednotky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k 31.12. 2022</w:t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Popis zabezpečenia pôžičky</w:t>
            </w:r>
          </w:p>
        </w:tc>
      </w:tr>
      <w:tr>
        <w:trPr/>
        <w:tc>
          <w:tcPr>
            <w:tcW w:w="233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0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2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6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/>
      </w:pPr>
      <w:r>
        <w:rPr/>
      </w:r>
    </w:p>
    <w:p>
      <w:pPr>
        <w:pStyle w:val="Pismenka"/>
        <w:numPr>
          <w:ilvl w:val="0"/>
          <w:numId w:val="20"/>
        </w:numPr>
        <w:ind w:left="284" w:right="0" w:hanging="284"/>
        <w:rPr/>
      </w:pPr>
      <w:r>
        <w:rPr>
          <w:b w:val="false"/>
          <w:sz w:val="24"/>
          <w:szCs w:val="24"/>
        </w:rPr>
        <w:t>významné položky ostatného dlhodobého finančného majetku (riadok 031 súvahy):</w:t>
      </w:r>
      <w:r>
        <w:rPr>
          <w:sz w:val="24"/>
          <w:szCs w:val="24"/>
        </w:rPr>
        <w:t xml:space="preserve"> 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823"/>
        <w:gridCol w:w="3123"/>
        <w:gridCol w:w="3380"/>
      </w:tblGrid>
      <w:tr>
        <w:trPr/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Významné položky ostatného DFM</w:t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Hodnota k 31.12.2023</w:t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Hodnota 31.12.2022</w:t>
            </w:r>
          </w:p>
        </w:tc>
      </w:tr>
      <w:tr>
        <w:trPr/>
        <w:tc>
          <w:tcPr>
            <w:tcW w:w="38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ind w:left="2520" w:right="0" w:hanging="2520"/>
        <w:rPr/>
      </w:pPr>
      <w:r>
        <w:rPr/>
      </w:r>
    </w:p>
    <w:p>
      <w:pPr>
        <w:pStyle w:val="Normal"/>
        <w:ind w:left="2520" w:right="0" w:hanging="2520"/>
        <w:rPr/>
      </w:pPr>
      <w:r>
        <w:rPr>
          <w:b/>
          <w:sz w:val="24"/>
          <w:szCs w:val="24"/>
        </w:rPr>
        <w:t xml:space="preserve">B  Obežný majetok </w:t>
      </w:r>
    </w:p>
    <w:p>
      <w:pPr>
        <w:pStyle w:val="Normal"/>
        <w:numPr>
          <w:ilvl w:val="0"/>
          <w:numId w:val="17"/>
        </w:numPr>
        <w:ind w:left="284" w:right="0" w:hanging="284"/>
        <w:rPr>
          <w:b w:val="false"/>
          <w:sz w:val="24"/>
          <w:szCs w:val="24"/>
        </w:rPr>
      </w:pPr>
      <w:r>
        <w:rPr>
          <w:b/>
          <w:sz w:val="24"/>
          <w:szCs w:val="24"/>
        </w:rPr>
        <w:t>Zásoby</w:t>
      </w:r>
    </w:p>
    <w:p>
      <w:pPr>
        <w:pStyle w:val="Pismenka"/>
        <w:numPr>
          <w:ilvl w:val="0"/>
          <w:numId w:val="6"/>
        </w:numPr>
        <w:ind w:left="284" w:right="0" w:hanging="284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vývoj </w:t>
      </w:r>
      <w:r>
        <w:rPr>
          <w:sz w:val="24"/>
          <w:szCs w:val="24"/>
        </w:rPr>
        <w:t>opravnej položky</w:t>
      </w:r>
    </w:p>
    <w:p>
      <w:pPr>
        <w:pStyle w:val="Pismenka"/>
        <w:tabs>
          <w:tab w:val="clear" w:pos="426"/>
        </w:tabs>
        <w:ind w:left="425" w:right="0" w:hanging="425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Opis dôvodov tvorby, zníženia a zrušenia</w:t>
      </w:r>
      <w:r>
        <w:rPr/>
        <w:t xml:space="preserve"> opravných položiek k zásobám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3"/>
        <w:gridCol w:w="2087"/>
        <w:gridCol w:w="5056"/>
      </w:tblGrid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Konkrétny druh zásob</w:t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OP</w:t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tvorby, zníženia a zrušenia OP</w:t>
            </w:r>
          </w:p>
        </w:tc>
      </w:tr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08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05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Pismenka"/>
        <w:tabs>
          <w:tab w:val="clear" w:pos="426"/>
        </w:tabs>
        <w:ind w:left="284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6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 xml:space="preserve">zásoby, na ktoré je zriadené záložné právo a výška zásob, pri ktorých má účtovná jednotka obmedzené právo s nimi nakladať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5219"/>
        <w:gridCol w:w="5106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zásob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Záložné  právo k zásobám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Obmedzené právo nakladať so zásobami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284" w:right="0" w:hanging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6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 xml:space="preserve">spôsob a výška poistenia zásob </w:t>
      </w:r>
    </w:p>
    <w:tbl>
      <w:tblPr>
        <w:tblW w:w="10326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3183"/>
        <w:gridCol w:w="3196"/>
        <w:gridCol w:w="3947"/>
      </w:tblGrid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zásob</w:t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Spôsob poistenia</w:t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poistenia</w:t>
            </w:r>
          </w:p>
        </w:tc>
      </w:tr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31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1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39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Normal"/>
        <w:ind w:left="284" w:right="0" w:hanging="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7"/>
        </w:numPr>
        <w:ind w:left="284" w:right="0" w:hanging="284"/>
        <w:rPr>
          <w:sz w:val="24"/>
          <w:szCs w:val="24"/>
        </w:rPr>
      </w:pPr>
      <w:r>
        <w:rPr>
          <w:b/>
          <w:sz w:val="24"/>
          <w:szCs w:val="24"/>
        </w:rPr>
        <w:t>Pohľadávky</w:t>
      </w:r>
    </w:p>
    <w:p>
      <w:pPr>
        <w:pStyle w:val="Pismenka"/>
        <w:numPr>
          <w:ilvl w:val="0"/>
          <w:numId w:val="21"/>
        </w:numPr>
        <w:ind w:left="284" w:right="0" w:hanging="284"/>
        <w:rPr>
          <w:b w:val="false"/>
          <w:color w:val="FF0000"/>
          <w:sz w:val="24"/>
          <w:szCs w:val="24"/>
        </w:rPr>
      </w:pPr>
      <w:r>
        <w:rPr>
          <w:sz w:val="24"/>
          <w:szCs w:val="24"/>
        </w:rPr>
        <w:t>opis významných pohľadávok</w:t>
      </w:r>
      <w:r>
        <w:rPr>
          <w:b w:val="false"/>
          <w:sz w:val="24"/>
          <w:szCs w:val="24"/>
        </w:rPr>
        <w:t xml:space="preserve"> podľa jednotlivých položiek súvahy 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tbl>
      <w:tblPr>
        <w:tblW w:w="1004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689"/>
        <w:gridCol w:w="850"/>
        <w:gridCol w:w="1564"/>
        <w:gridCol w:w="1560"/>
        <w:gridCol w:w="3381"/>
      </w:tblGrid>
      <w:tr>
        <w:trPr/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Riadok súvahy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brutto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Hodnota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pohľadávok netto</w:t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</w:t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268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338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left="284" w:right="0" w:hanging="284"/>
        <w:rPr>
          <w:b w:val="false"/>
          <w:sz w:val="24"/>
          <w:szCs w:val="24"/>
        </w:rPr>
      </w:pPr>
      <w:r>
        <w:rPr>
          <w:sz w:val="24"/>
          <w:szCs w:val="24"/>
        </w:rPr>
        <w:t>vývoj opravnej položky</w:t>
      </w:r>
      <w:r>
        <w:rPr>
          <w:b w:val="false"/>
          <w:sz w:val="24"/>
          <w:szCs w:val="24"/>
        </w:rPr>
        <w:t xml:space="preserve"> k pohľadávkam - tabuľka č.3</w:t>
      </w:r>
    </w:p>
    <w:p>
      <w:pPr>
        <w:pStyle w:val="Pismenka"/>
        <w:tabs>
          <w:tab w:val="clear" w:pos="426"/>
        </w:tabs>
        <w:ind w:left="0" w:right="0" w:hanging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č.3 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right="0" w:hanging="425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Opis dôvodov </w:t>
      </w:r>
      <w:r>
        <w:rPr>
          <w:sz w:val="24"/>
          <w:szCs w:val="24"/>
        </w:rPr>
        <w:t>tvorby, zníženia a zrušenia</w:t>
      </w:r>
      <w:r>
        <w:rPr>
          <w:b w:val="false"/>
          <w:sz w:val="24"/>
          <w:szCs w:val="24"/>
        </w:rPr>
        <w:t xml:space="preserve"> opravných položiek k pohľadávkam </w:t>
      </w:r>
    </w:p>
    <w:p>
      <w:pPr>
        <w:pStyle w:val="Pismenka"/>
        <w:tabs>
          <w:tab w:val="clear" w:pos="426"/>
          <w:tab w:val="left" w:pos="7425" w:leader="none"/>
        </w:tabs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4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3"/>
        <w:gridCol w:w="851"/>
        <w:gridCol w:w="851"/>
        <w:gridCol w:w="850"/>
        <w:gridCol w:w="1134"/>
        <w:gridCol w:w="3346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Pohľadávky, ku ktorým bola tvorená opravná položka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 k 31.12.2022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Zvýšenie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Zrušenie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31.12.2023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Dôvod zvýšenie, zníženia a zrušenia OP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left="284" w:right="0" w:hanging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ind w:left="0" w:right="0" w:hanging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č.4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right="0" w:hanging="425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284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 </w:t>
      </w:r>
    </w:p>
    <w:tbl>
      <w:tblPr>
        <w:tblW w:w="1018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395"/>
        <w:gridCol w:w="1420"/>
        <w:gridCol w:w="1414"/>
        <w:gridCol w:w="2954"/>
      </w:tblGrid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 toho pohľadávky po lehote splatnosti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suma, popis</w:t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Dlhodobé pohľadávky z toho: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left="678" w:right="0" w:hanging="0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Krátkodobé pohľadávky z toho:</w:t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3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295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</w:tbl>
    <w:p>
      <w:pPr>
        <w:pStyle w:val="Pismenka"/>
        <w:tabs>
          <w:tab w:val="clear" w:pos="426"/>
        </w:tabs>
        <w:ind w:left="284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left="284" w:right="0" w:hanging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pohľadávky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048 a 060 súvahy) - tabuľka č.4</w:t>
      </w:r>
    </w:p>
    <w:p>
      <w:pPr>
        <w:pStyle w:val="Pismenka"/>
        <w:tabs>
          <w:tab w:val="clear" w:pos="426"/>
        </w:tabs>
        <w:ind w:left="0" w:right="0" w:hanging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č.4 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right="0" w:hanging="425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185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30"/>
        <w:gridCol w:w="1417"/>
        <w:gridCol w:w="1538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Pohľadávky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Pohľadávky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left="356" w:right="0" w:hanging="284"/>
              <w:rPr/>
            </w:pPr>
            <w:r>
              <w:rPr/>
              <w:t>so zostatkovou dobou splatnosti do 1 roka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13928,20</w:t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11828,38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left="356" w:right="0" w:hanging="284"/>
              <w:rPr/>
            </w:pPr>
            <w:r>
              <w:rPr/>
              <w:t>so zostatkovou dobou splatnosti od 1 roka do 5 rokov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/>
            </w:pPr>
            <w:r>
              <w:rPr/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5"/>
              </w:numPr>
              <w:ind w:left="356" w:right="0" w:hanging="284"/>
              <w:rPr/>
            </w:pPr>
            <w:r>
              <w:rPr/>
              <w:t>so zostatkovou dobou splatnosti nad 5 rokov z toho: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21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 xml:space="preserve">pohľadávky zabezpečené </w:t>
      </w:r>
      <w:r>
        <w:rPr>
          <w:sz w:val="24"/>
          <w:szCs w:val="24"/>
        </w:rPr>
        <w:t>záložným právom</w:t>
      </w:r>
      <w:r>
        <w:rPr>
          <w:b w:val="false"/>
          <w:sz w:val="24"/>
          <w:szCs w:val="24"/>
        </w:rPr>
        <w:t xml:space="preserve"> alebo </w:t>
      </w:r>
      <w:r>
        <w:rPr>
          <w:sz w:val="24"/>
          <w:szCs w:val="24"/>
        </w:rPr>
        <w:t xml:space="preserve">inou formou zabezpečenia   </w:t>
      </w:r>
    </w:p>
    <w:tbl>
      <w:tblPr>
        <w:tblW w:w="10380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098"/>
        <w:gridCol w:w="2837"/>
        <w:gridCol w:w="2445"/>
      </w:tblGrid>
      <w:tr>
        <w:trPr/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predmetu záložného práva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predmetu</w:t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pohľadávky</w:t>
            </w:r>
          </w:p>
        </w:tc>
      </w:tr>
      <w:tr>
        <w:trPr/>
        <w:tc>
          <w:tcPr>
            <w:tcW w:w="509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Pohľadávky kryté záložným právom alebo inou formou zabezpečenia (uviesť inú formu zabezpečenia)</w:t>
            </w:r>
          </w:p>
        </w:tc>
        <w:tc>
          <w:tcPr>
            <w:tcW w:w="28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4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21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>pohľadávky, na ktoré sa zriadilo záložné právo a výška pohľadávok, pri ktorých má účtovná jednotka obmedzené právo s nimi nakladať</w:t>
      </w:r>
      <w:r>
        <w:rPr/>
        <w:t xml:space="preserve">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219"/>
        <w:gridCol w:w="5106"/>
      </w:tblGrid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pohľadávok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pohľadávok</w:t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Hodnota pohľadávok, na ktoré sa zriadilo záložné právo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2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Hodnota pohľadávok pri ktorých je obmedzené</w:t>
            </w:r>
          </w:p>
          <w:p>
            <w:pPr>
              <w:pStyle w:val="Normal"/>
              <w:widowControl w:val="false"/>
              <w:rPr/>
            </w:pPr>
            <w:r>
              <w:rPr/>
              <w:t>právo s nimi nakladať</w:t>
            </w:r>
          </w:p>
        </w:tc>
        <w:tc>
          <w:tcPr>
            <w:tcW w:w="510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284" w:right="0" w:hanging="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7"/>
        </w:numPr>
        <w:ind w:left="284" w:right="0" w:hanging="284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Finančný majetok </w:t>
      </w:r>
    </w:p>
    <w:p>
      <w:pPr>
        <w:pStyle w:val="Pismenka"/>
        <w:numPr>
          <w:ilvl w:val="0"/>
          <w:numId w:val="10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 xml:space="preserve">opis významných zložiek </w:t>
      </w:r>
      <w:r>
        <w:rPr>
          <w:sz w:val="24"/>
          <w:szCs w:val="24"/>
        </w:rPr>
        <w:t>krátkodobého finančného majetku</w:t>
      </w:r>
      <w:r>
        <w:rPr>
          <w:b w:val="false"/>
          <w:sz w:val="24"/>
          <w:szCs w:val="24"/>
        </w:rPr>
        <w:t xml:space="preserve"> </w:t>
      </w:r>
    </w:p>
    <w:tbl>
      <w:tblPr>
        <w:tblW w:w="10468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932"/>
        <w:gridCol w:w="2723"/>
        <w:gridCol w:w="2813"/>
      </w:tblGrid>
      <w:tr>
        <w:trPr/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Krátkodobý  finančný majetok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>
        <w:trPr/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Pokladnica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916,83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833,17</w:t>
            </w:r>
          </w:p>
        </w:tc>
      </w:tr>
      <w:tr>
        <w:trPr/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Ceniny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0</w:t>
            </w:r>
          </w:p>
        </w:tc>
      </w:tr>
      <w:tr>
        <w:trPr/>
        <w:tc>
          <w:tcPr>
            <w:tcW w:w="493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Bankové účty</w:t>
            </w:r>
          </w:p>
        </w:tc>
        <w:tc>
          <w:tcPr>
            <w:tcW w:w="272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101400,65</w:t>
            </w:r>
          </w:p>
        </w:tc>
        <w:tc>
          <w:tcPr>
            <w:tcW w:w="28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73891,17</w:t>
            </w:r>
          </w:p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10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 xml:space="preserve">krátkodobý finančný majetok, na ktorý je zriadené </w:t>
      </w:r>
      <w:r>
        <w:rPr>
          <w:sz w:val="24"/>
          <w:szCs w:val="24"/>
        </w:rPr>
        <w:t>záložné právo</w:t>
      </w:r>
      <w:r>
        <w:rPr>
          <w:b w:val="false"/>
          <w:sz w:val="24"/>
          <w:szCs w:val="24"/>
        </w:rPr>
        <w:t xml:space="preserve"> a krátkodobý finančný majetok, pri ktorom má účtovná jednotka </w:t>
      </w:r>
      <w:r>
        <w:rPr>
          <w:sz w:val="24"/>
          <w:szCs w:val="24"/>
        </w:rPr>
        <w:t>obmedzené právo s ním nakladať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6096"/>
        <w:gridCol w:w="4229"/>
      </w:tblGrid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krátkodobého finančného majetku</w:t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Krátkodobý finančný majetok, na ktorý bolo zriadené záložné právo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609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Krátkodobý finančný majetok, pri ktorom je obmedzené právo s nám nakladať</w:t>
            </w:r>
          </w:p>
        </w:tc>
        <w:tc>
          <w:tcPr>
            <w:tcW w:w="42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</w:tbl>
    <w:p>
      <w:pPr>
        <w:pStyle w:val="Normal"/>
        <w:ind w:left="360" w:right="0" w:hanging="0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7"/>
        </w:numPr>
        <w:ind w:left="284" w:right="0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Poskytnuté návratné finančné výpomoci </w:t>
      </w:r>
      <w:r>
        <w:rPr>
          <w:sz w:val="24"/>
          <w:szCs w:val="24"/>
        </w:rPr>
        <w:t xml:space="preserve">(riadky 098 a 104 súvahy): 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Popis a hodnota poskytnutých návratných finančných výpomoci podľa jednotlivých druhov výpomocí v členení na </w:t>
      </w:r>
      <w:r>
        <w:rPr>
          <w:b/>
          <w:sz w:val="24"/>
          <w:szCs w:val="24"/>
        </w:rPr>
        <w:t>dlhodobé</w:t>
      </w:r>
      <w:r>
        <w:rPr>
          <w:sz w:val="24"/>
          <w:szCs w:val="24"/>
        </w:rPr>
        <w:t xml:space="preserve"> návratné výpomoci a </w:t>
      </w:r>
      <w:r>
        <w:rPr>
          <w:b/>
          <w:sz w:val="24"/>
          <w:szCs w:val="24"/>
        </w:rPr>
        <w:t>krátkodobé</w:t>
      </w:r>
      <w:r>
        <w:rPr>
          <w:sz w:val="24"/>
          <w:szCs w:val="24"/>
        </w:rPr>
        <w:t xml:space="preserve"> návratné finančné výpomoci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700"/>
        <w:gridCol w:w="899"/>
        <w:gridCol w:w="901"/>
        <w:gridCol w:w="1439"/>
        <w:gridCol w:w="2145"/>
        <w:gridCol w:w="2241"/>
      </w:tblGrid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Názov dlžníka</w:t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Výnos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Mena</w:t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Dátum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splatnosti</w:t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31.12.2023</w:t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návratnej finančnej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27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8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9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3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1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2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</w:tbl>
    <w:p>
      <w:pPr>
        <w:pStyle w:val="Normal"/>
        <w:ind w:left="284" w:right="0" w:hanging="0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numPr>
          <w:ilvl w:val="0"/>
          <w:numId w:val="17"/>
        </w:numPr>
        <w:ind w:left="284" w:right="0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Normal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Významné položky časového rozlíšenia </w:t>
      </w:r>
      <w:r>
        <w:rPr>
          <w:b/>
          <w:sz w:val="24"/>
          <w:szCs w:val="24"/>
        </w:rPr>
        <w:t>nákladov budúcich období</w:t>
      </w:r>
      <w:r>
        <w:rPr>
          <w:sz w:val="24"/>
          <w:szCs w:val="24"/>
        </w:rPr>
        <w:t xml:space="preserve"> a </w:t>
      </w:r>
      <w:r>
        <w:rPr>
          <w:b/>
          <w:sz w:val="24"/>
          <w:szCs w:val="24"/>
        </w:rPr>
        <w:t xml:space="preserve">príjmov budúcich období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670"/>
        <w:gridCol w:w="2410"/>
        <w:gridCol w:w="2246"/>
      </w:tblGrid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jednotlivých významných položiek časového rozlíšenia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Náklady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746,90</w:t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  <w:t>1172,48</w:t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Príjmy budúcich období  spolu z toho: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/>
            </w:pPr>
            <w:r>
              <w:rPr/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2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</w:tbl>
    <w:p>
      <w:pPr>
        <w:pStyle w:val="Normal"/>
        <w:jc w:val="center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Čl. IV</w:t>
      </w:r>
    </w:p>
    <w:p>
      <w:pPr>
        <w:pStyle w:val="Normal"/>
        <w:jc w:val="center"/>
        <w:rPr>
          <w:sz w:val="24"/>
          <w:szCs w:val="24"/>
        </w:rPr>
      </w:pPr>
      <w:r>
        <w:rPr>
          <w:b/>
          <w:sz w:val="24"/>
          <w:szCs w:val="24"/>
        </w:rPr>
        <w:t>Informácie o údajoch na strane pasív súvahy</w:t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 xml:space="preserve">A  Vlastné imanie </w:t>
      </w:r>
      <w:r>
        <w:rPr>
          <w:sz w:val="24"/>
          <w:szCs w:val="24"/>
        </w:rPr>
        <w:t>- tabuľka č.5</w:t>
      </w:r>
    </w:p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tbl>
      <w:tblPr>
        <w:tblW w:w="10434" w:type="dxa"/>
        <w:jc w:val="left"/>
        <w:tblInd w:w="108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2268"/>
        <w:gridCol w:w="1133"/>
        <w:gridCol w:w="851"/>
        <w:gridCol w:w="851"/>
        <w:gridCol w:w="850"/>
        <w:gridCol w:w="1134"/>
        <w:gridCol w:w="3346"/>
      </w:tblGrid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Názov položky</w:t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31.12.2021</w:t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Zvýšenie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Zníženie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Presun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Zostatok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k 31.12.2022</w:t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Opis jednotlivých položiek a opis zmien jednotlivých položiek vlastného imania, najmä zmeny oceňovacích rozdielov,</w:t>
            </w:r>
          </w:p>
          <w:p>
            <w:pPr>
              <w:pStyle w:val="Normal"/>
              <w:widowControl w:val="false"/>
              <w:jc w:val="center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opravy významných chýb minulých rokov</w:t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2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34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Normal"/>
        <w:rPr>
          <w:sz w:val="24"/>
          <w:szCs w:val="24"/>
        </w:rPr>
      </w:pPr>
      <w:r>
        <w:rPr>
          <w:sz w:val="24"/>
          <w:szCs w:val="24"/>
        </w:rPr>
      </w:r>
    </w:p>
    <w:p>
      <w:pPr>
        <w:pStyle w:val="Normal"/>
        <w:rPr>
          <w:sz w:val="24"/>
          <w:szCs w:val="24"/>
        </w:rPr>
      </w:pPr>
      <w:r>
        <w:rPr>
          <w:b/>
          <w:sz w:val="24"/>
          <w:szCs w:val="24"/>
        </w:rPr>
        <w:t>B  Záväzky</w:t>
      </w:r>
    </w:p>
    <w:p>
      <w:pPr>
        <w:pStyle w:val="Normal"/>
        <w:numPr>
          <w:ilvl w:val="0"/>
          <w:numId w:val="22"/>
        </w:numPr>
        <w:ind w:left="284" w:right="0" w:hanging="284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Rezervy </w:t>
      </w:r>
      <w:r>
        <w:rPr>
          <w:sz w:val="24"/>
          <w:szCs w:val="24"/>
        </w:rPr>
        <w:t xml:space="preserve">- tabuľka č.6-7 </w:t>
      </w:r>
    </w:p>
    <w:p>
      <w:pPr>
        <w:pStyle w:val="Pismenka"/>
        <w:tabs>
          <w:tab w:val="clear" w:pos="426"/>
        </w:tabs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Predpokladaný rok použitia rezerv a opis významných položiek rezerv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30"/>
        <w:gridCol w:w="3095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  <w:color w:val="FF0000"/>
              </w:rPr>
            </w:pPr>
            <w:r>
              <w:rPr>
                <w:b/>
              </w:rPr>
              <w:t>Názov položky / Suma</w:t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Predpokladaný rok použitia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9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</w:tbl>
    <w:p>
      <w:pPr>
        <w:pStyle w:val="Normal"/>
        <w:ind w:left="284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numPr>
          <w:ilvl w:val="0"/>
          <w:numId w:val="22"/>
        </w:numPr>
        <w:ind w:left="284" w:right="0" w:hanging="284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Záväzky podľa doby splatnosti </w:t>
      </w:r>
    </w:p>
    <w:p>
      <w:pPr>
        <w:pStyle w:val="Pismenka"/>
        <w:numPr>
          <w:ilvl w:val="0"/>
          <w:numId w:val="1"/>
        </w:numPr>
        <w:ind w:left="284" w:right="0" w:hanging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right="0" w:hanging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Textová časť k tabuľke </w:t>
      </w:r>
    </w:p>
    <w:tbl>
      <w:tblPr>
        <w:tblW w:w="1032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30"/>
        <w:gridCol w:w="1559"/>
        <w:gridCol w:w="1537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>
        <w:trPr>
          <w:trHeight w:val="893" w:hRule="atLeast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Dlhodobé záväzky z 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zo sociálneho fondu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2163,75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1785,76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z poskytnutého úveru zo ŠFRB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z investičného dodávateľského úveru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z neinvestičného dodávateľského úveru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z finančnej zábezpeky na nájomné v bytovkách zo ŠFRB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left="678" w:right="0" w:hanging="0"/>
              <w:rPr/>
            </w:pPr>
            <w:r>
              <w:rPr/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Krátkodobé záväzky z toho: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000000"/>
              </w:rPr>
            </w:pPr>
            <w:r>
              <w:rPr>
                <w:b/>
                <w:color w:val="00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voči dodávateľom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voči zamestnancom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3990,67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3859,42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voči poisťovniam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2108,96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1742,84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voči daňovému úradu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1114,01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1042,60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voči štátnemu rozpočtu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záväzky z finančnej zábezpeky na verejné obstarávanie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ostatné záväzky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0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ind w:left="318" w:right="0" w:hanging="0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153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"/>
        </w:numPr>
        <w:ind w:left="284" w:right="0" w:hanging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 xml:space="preserve"> </w:t>
      </w:r>
      <w:r>
        <w:rPr>
          <w:b w:val="false"/>
          <w:sz w:val="24"/>
          <w:szCs w:val="24"/>
        </w:rPr>
        <w:t xml:space="preserve">záväzky podľa </w:t>
      </w:r>
      <w:r>
        <w:rPr>
          <w:sz w:val="24"/>
          <w:szCs w:val="24"/>
        </w:rPr>
        <w:t>zostatkovej doby splatnosti</w:t>
      </w:r>
      <w:r>
        <w:rPr>
          <w:b w:val="false"/>
          <w:sz w:val="24"/>
          <w:szCs w:val="24"/>
        </w:rPr>
        <w:t xml:space="preserve"> (riadky 140 a 151 súvahy) - tabuľka č.8</w:t>
      </w:r>
    </w:p>
    <w:p>
      <w:pPr>
        <w:pStyle w:val="Pismenka"/>
        <w:tabs>
          <w:tab w:val="clear" w:pos="426"/>
        </w:tabs>
        <w:ind w:left="0" w:right="0" w:hanging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Textová časť k tabuľke č.8  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425" w:right="0" w:hanging="425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..........................................................................................................................................................................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Normal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tbl>
      <w:tblPr>
        <w:tblW w:w="1003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7230"/>
        <w:gridCol w:w="1278"/>
        <w:gridCol w:w="1524"/>
      </w:tblGrid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Záväzky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31.12.2023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k 31.12.2022</w:t>
            </w:r>
          </w:p>
        </w:tc>
      </w:tr>
      <w:tr>
        <w:trPr>
          <w:trHeight w:val="488" w:hRule="atLeast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b/>
              </w:rPr>
            </w:pPr>
            <w:r>
              <w:rPr>
                <w:b/>
              </w:rPr>
              <w:t>Záväzky z toho: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  <w:color w:val="FF0000"/>
              </w:rPr>
            </w:pPr>
            <w:r>
              <w:rPr>
                <w:b/>
                <w:color w:val="FF0000"/>
              </w:rPr>
            </w:r>
          </w:p>
        </w:tc>
      </w:tr>
      <w:tr>
        <w:trPr>
          <w:trHeight w:val="192" w:hRule="atLeast"/>
        </w:trPr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356" w:right="0" w:hanging="284"/>
              <w:rPr/>
            </w:pPr>
            <w:r>
              <w:rPr/>
              <w:t>so zostatkovou dobou splatnosti  do 1 roka  z toho: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7593,20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000000"/>
              </w:rPr>
            </w:pPr>
            <w:r>
              <w:rPr>
                <w:color w:val="000000"/>
              </w:rPr>
              <w:t>6722,45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356" w:right="0" w:hanging="284"/>
              <w:rPr/>
            </w:pPr>
            <w:r>
              <w:rPr/>
              <w:t>so zostatkovou dobou splatnosti  od 1 roka do 5 rokov z toho: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1785,76</w:t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1503,72</w:t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2"/>
              </w:numPr>
              <w:ind w:left="356" w:right="0" w:hanging="284"/>
              <w:rPr/>
            </w:pPr>
            <w:r>
              <w:rPr/>
              <w:t>so zostatkovou dobou splatnosti  nad 5 rokov z toho:</w:t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723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/>
            </w:pPr>
            <w:r>
              <w:rPr/>
            </w:r>
          </w:p>
        </w:tc>
        <w:tc>
          <w:tcPr>
            <w:tcW w:w="127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</w:tbl>
    <w:p>
      <w:pPr>
        <w:pStyle w:val="Normal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1"/>
        </w:numPr>
        <w:ind w:left="284" w:right="0" w:hanging="284"/>
        <w:rPr>
          <w:b/>
        </w:rPr>
      </w:pPr>
      <w:r>
        <w:rPr>
          <w:sz w:val="24"/>
          <w:szCs w:val="24"/>
        </w:rPr>
        <w:t xml:space="preserve">popis významných položiek záväzkov </w:t>
      </w:r>
    </w:p>
    <w:tbl>
      <w:tblPr>
        <w:tblW w:w="9876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114"/>
        <w:gridCol w:w="1705"/>
        <w:gridCol w:w="1983"/>
        <w:gridCol w:w="3073"/>
      </w:tblGrid>
      <w:tr>
        <w:trPr/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Záväzok</w:t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záväzku k 31.12.2023</w:t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záväzku k 31.12.2022</w:t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popis</w:t>
            </w:r>
          </w:p>
        </w:tc>
      </w:tr>
      <w:tr>
        <w:trPr/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</w:rPr>
            </w:pPr>
            <w:r>
              <w:rPr>
                <w:color w:val="FF0000"/>
              </w:rPr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</w:rPr>
            </w:pPr>
            <w:r>
              <w:rPr>
                <w:color w:val="FF0000"/>
              </w:rPr>
            </w:r>
          </w:p>
        </w:tc>
      </w:tr>
      <w:tr>
        <w:trPr/>
        <w:tc>
          <w:tcPr>
            <w:tcW w:w="31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170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19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  <w:tc>
          <w:tcPr>
            <w:tcW w:w="30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24"/>
              </w:rPr>
            </w:pPr>
            <w:r>
              <w:rPr>
                <w:color w:val="FF0000"/>
                <w:sz w:val="24"/>
              </w:rPr>
            </w:r>
          </w:p>
        </w:tc>
      </w:tr>
    </w:tbl>
    <w:p>
      <w:pPr>
        <w:pStyle w:val="Normal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2"/>
        </w:numPr>
        <w:ind w:left="284" w:right="0" w:hanging="284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Bankové úvery a ostatné prijaté návratné finančné výpomoci </w:t>
      </w:r>
    </w:p>
    <w:p>
      <w:pPr>
        <w:pStyle w:val="Pismenka"/>
        <w:numPr>
          <w:ilvl w:val="0"/>
          <w:numId w:val="3"/>
        </w:numPr>
        <w:ind w:left="284" w:right="0" w:hanging="284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  <w:t>dlhodobé bankové úvery a krátkodobé bankové úvery - tabuľka č.9</w:t>
      </w:r>
    </w:p>
    <w:p>
      <w:pPr>
        <w:pStyle w:val="Pismenka"/>
        <w:tabs>
          <w:tab w:val="clear" w:pos="426"/>
        </w:tabs>
        <w:ind w:left="0" w:right="0" w:hanging="0"/>
        <w:jc w:val="left"/>
        <w:rPr>
          <w:b w:val="false"/>
          <w:sz w:val="24"/>
          <w:szCs w:val="24"/>
        </w:rPr>
      </w:pPr>
      <w:r>
        <w:rPr>
          <w:b w:val="false"/>
          <w:sz w:val="24"/>
          <w:szCs w:val="24"/>
        </w:rPr>
      </w:r>
    </w:p>
    <w:p>
      <w:pPr>
        <w:pStyle w:val="Pismenka"/>
        <w:numPr>
          <w:ilvl w:val="0"/>
          <w:numId w:val="3"/>
        </w:numPr>
        <w:ind w:left="284" w:right="0" w:hanging="284"/>
        <w:rPr>
          <w:b/>
        </w:rPr>
      </w:pPr>
      <w:r>
        <w:rPr>
          <w:sz w:val="24"/>
          <w:szCs w:val="24"/>
        </w:rPr>
        <w:t xml:space="preserve">opis zabezpečenia </w:t>
      </w:r>
      <w:r>
        <w:rPr>
          <w:b w:val="false"/>
          <w:sz w:val="24"/>
          <w:szCs w:val="24"/>
        </w:rPr>
        <w:t>dlhodobého bankového úveru alebo krátkodobého bankového úveru</w:t>
      </w:r>
    </w:p>
    <w:tbl>
      <w:tblPr>
        <w:tblW w:w="1027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4500"/>
        <w:gridCol w:w="5771"/>
      </w:tblGrid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bankového úveru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podľa splatnosti /krátkodobý, dlhodobý/</w:t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zabezpečenia dlhodobého bankového úveru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alebo krátkodobého bankového úveru</w:t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45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57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both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Pismenka"/>
        <w:tabs>
          <w:tab w:val="clear" w:pos="426"/>
        </w:tabs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3"/>
        </w:numPr>
        <w:ind w:left="284" w:right="0" w:hanging="284"/>
        <w:rPr>
          <w:b/>
        </w:rPr>
      </w:pPr>
      <w:r>
        <w:rPr>
          <w:sz w:val="24"/>
          <w:szCs w:val="24"/>
        </w:rPr>
        <w:t xml:space="preserve">dlhodobé emitované dlhopisy a krátkodobé emitované dlhopisy </w:t>
      </w:r>
      <w:r>
        <w:rPr>
          <w:b w:val="false"/>
          <w:sz w:val="24"/>
          <w:szCs w:val="24"/>
        </w:rPr>
        <w:t>(riadky 150 a 176 súvahy)</w:t>
      </w:r>
    </w:p>
    <w:tbl>
      <w:tblPr>
        <w:tblW w:w="1027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238"/>
        <w:gridCol w:w="1865"/>
        <w:gridCol w:w="1018"/>
        <w:gridCol w:w="1402"/>
        <w:gridCol w:w="1479"/>
        <w:gridCol w:w="1269"/>
      </w:tblGrid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cenného papiera</w:t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Mena, v ktorej sú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cenné papiere vydané</w:t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Úroková sadzba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 %</w:t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31.12.2023</w:t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Stav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323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86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0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0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7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26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Pismenka"/>
        <w:tabs>
          <w:tab w:val="clear" w:pos="426"/>
        </w:tabs>
        <w:ind w:left="284" w:right="0" w:hanging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3"/>
        </w:numPr>
        <w:ind w:left="284" w:right="0" w:hanging="284"/>
        <w:rPr>
          <w:b/>
        </w:rPr>
      </w:pPr>
      <w:r>
        <w:rPr>
          <w:sz w:val="24"/>
          <w:szCs w:val="24"/>
        </w:rPr>
        <w:t xml:space="preserve">prijaté dlhodobé návratné finančné výpomoci </w:t>
      </w:r>
      <w:r>
        <w:rPr/>
        <w:t xml:space="preserve">a krátkodobé návratné finančné výpomoci </w:t>
      </w:r>
    </w:p>
    <w:tbl>
      <w:tblPr>
        <w:tblW w:w="1027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844"/>
        <w:gridCol w:w="2399"/>
        <w:gridCol w:w="1134"/>
        <w:gridCol w:w="1134"/>
        <w:gridCol w:w="1419"/>
        <w:gridCol w:w="1341"/>
      </w:tblGrid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Poskytovateľ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návratnej výpomoci</w:t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prijatej návratnej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/krátkodobá, dlhodobá/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Účel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použitia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Dátum splatnosti</w:t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31.12.2023</w:t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Výška prijatej návratnej výpomoci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 31.12.2022</w:t>
            </w:r>
          </w:p>
        </w:tc>
      </w:tr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</w:tr>
      <w:tr>
        <w:trPr/>
        <w:tc>
          <w:tcPr>
            <w:tcW w:w="28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23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24"/>
              </w:rPr>
            </w:pPr>
            <w:r>
              <w:rPr>
                <w:b/>
                <w:sz w:val="24"/>
              </w:rPr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41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34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</w:tr>
    </w:tbl>
    <w:p>
      <w:pPr>
        <w:pStyle w:val="Normal"/>
        <w:ind w:left="284" w:right="0" w:hanging="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2"/>
        </w:numPr>
        <w:ind w:left="284" w:right="0" w:hanging="284"/>
        <w:rPr>
          <w:b w:val="false"/>
          <w:sz w:val="24"/>
          <w:szCs w:val="24"/>
        </w:rPr>
      </w:pPr>
      <w:r>
        <w:rPr>
          <w:b/>
          <w:sz w:val="24"/>
          <w:szCs w:val="24"/>
        </w:rPr>
        <w:t xml:space="preserve">Časové rozlíšenie </w:t>
      </w:r>
    </w:p>
    <w:p>
      <w:pPr>
        <w:pStyle w:val="Pismenka"/>
        <w:numPr>
          <w:ilvl w:val="0"/>
          <w:numId w:val="14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 xml:space="preserve">opis významných položiek časového rozlíšenia výdavkov budúcich období a výnosov budúcich                období </w:t>
      </w:r>
    </w:p>
    <w:tbl>
      <w:tblPr>
        <w:tblW w:w="1033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525"/>
        <w:gridCol w:w="2427"/>
        <w:gridCol w:w="2380"/>
      </w:tblGrid>
      <w:tr>
        <w:trPr/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významnej položky časového rozlíšenia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 k 31.12.2023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Zostatok  k 31.12.2022</w:t>
            </w:r>
          </w:p>
        </w:tc>
      </w:tr>
      <w:tr>
        <w:trPr/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Výdavky budúcich období spolu z toho: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Výnosy budúcich období spolu z toho:</w:t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27750,00</w:t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  <w:t>28500,00</w:t>
            </w:r>
          </w:p>
        </w:tc>
      </w:tr>
      <w:tr>
        <w:trPr/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4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</w:tr>
    </w:tbl>
    <w:p>
      <w:pPr>
        <w:pStyle w:val="Pismenka"/>
        <w:tabs>
          <w:tab w:val="clear" w:pos="426"/>
        </w:tabs>
        <w:ind w:left="284" w:right="0" w:hanging="0"/>
        <w:rPr>
          <w:b/>
        </w:rPr>
      </w:pPr>
      <w:r>
        <w:rPr>
          <w:b/>
        </w:rPr>
      </w:r>
    </w:p>
    <w:p>
      <w:pPr>
        <w:pStyle w:val="Pismenka"/>
        <w:numPr>
          <w:ilvl w:val="0"/>
          <w:numId w:val="14"/>
        </w:numPr>
        <w:ind w:left="284" w:right="0" w:hanging="284"/>
        <w:rPr>
          <w:b/>
        </w:rPr>
      </w:pPr>
      <w:r>
        <w:rPr>
          <w:b w:val="false"/>
          <w:sz w:val="24"/>
          <w:szCs w:val="24"/>
        </w:rPr>
        <w:t xml:space="preserve">informácia o prijatých kapitálových transferoch zaúčtovaných na účte 384 </w:t>
      </w:r>
    </w:p>
    <w:tbl>
      <w:tblPr>
        <w:tblW w:w="1033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524"/>
        <w:gridCol w:w="2414"/>
        <w:gridCol w:w="2394"/>
      </w:tblGrid>
      <w:tr>
        <w:trPr/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Kapitálový transfer na:</w:t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Stav k 31.12.2023</w:t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tav k 31.12.2022</w:t>
            </w:r>
          </w:p>
        </w:tc>
      </w:tr>
      <w:tr>
        <w:trPr/>
        <w:tc>
          <w:tcPr>
            <w:tcW w:w="55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5"/>
              </w:numPr>
              <w:snapToGrid w:val="false"/>
              <w:ind w:left="214" w:right="0" w:hanging="142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41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  <w:tc>
          <w:tcPr>
            <w:tcW w:w="23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000000"/>
              </w:rPr>
            </w:pPr>
            <w:r>
              <w:rPr>
                <w:color w:val="000000"/>
              </w:rPr>
            </w:r>
          </w:p>
        </w:tc>
      </w:tr>
    </w:tbl>
    <w:p>
      <w:pPr>
        <w:pStyle w:val="Pismenka"/>
        <w:tabs>
          <w:tab w:val="clear" w:pos="426"/>
        </w:tabs>
        <w:ind w:left="360" w:right="0" w:hanging="0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>Čl. V</w:t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 xml:space="preserve">Informácie o výnosoch a nákladoch </w:t>
      </w:r>
    </w:p>
    <w:p>
      <w:pPr>
        <w:pStyle w:val="Pismenka"/>
        <w:tabs>
          <w:tab w:val="clear" w:pos="426"/>
        </w:tabs>
        <w:ind w:left="360" w:right="0" w:hanging="0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3"/>
        </w:numPr>
        <w:ind w:left="284" w:right="0" w:hanging="284"/>
        <w:rPr>
          <w:b/>
        </w:rPr>
      </w:pPr>
      <w:r>
        <w:rPr>
          <w:b/>
          <w:sz w:val="24"/>
          <w:szCs w:val="24"/>
        </w:rPr>
        <w:t>Výnosy - opis a výška významných položiek výnosov</w:t>
      </w:r>
    </w:p>
    <w:tbl>
      <w:tblPr>
        <w:tblW w:w="1022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792"/>
        <w:gridCol w:w="2571"/>
        <w:gridCol w:w="1861"/>
      </w:tblGrid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/číslo účtu a názov/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k 31.12.2023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k 31.12.2022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tržby za vlastné výkony  a tovar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602 - Tržby z predaja služieb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suppressAutoHyphens w:val="true"/>
              <w:bidi w:val="0"/>
              <w:ind w:left="0" w:right="0" w:hanging="113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1106,06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2083,75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604 - Tržby za tovar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607 - Výnosy z nehnuteľnosti na predaj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zmena stavu vnútroorganizačných zásob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aktivácia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622 - Aktivácia vnútroorganizačných služieb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624 - Aktivácia DHM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sz w:val="24"/>
              </w:rPr>
            </w:pPr>
            <w:r>
              <w:rPr>
                <w:sz w:val="24"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sz w:val="24"/>
              </w:rPr>
            </w:pPr>
            <w:r>
              <w:rPr>
                <w:sz w:val="24"/>
              </w:rPr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daňové a colné výnosy a výnosy z poplatkov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632 - Daňové výnosy samosprávy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129633,27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123847,23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633 - Výnosy z poplatkov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7098,97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6622,56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finančné výnosy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661 - Tržby z predaja CP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predaj akcií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662 - Úroky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66</w:t>
            </w:r>
            <w:r>
              <w:rPr/>
              <w:t>5</w:t>
            </w:r>
            <w:r>
              <w:rPr/>
              <w:t xml:space="preserve"> – </w:t>
            </w:r>
            <w:r>
              <w:rPr/>
              <w:t>Výnosy z dlhodobého finančného majetku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12145,00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>
                <w:b/>
              </w:rPr>
            </w:pPr>
            <w:r>
              <w:rPr>
                <w:b/>
              </w:rPr>
              <w:t>mimoriadne výnosy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672 - Náhrady škôd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výnosy z transferov a rozpočtových príjmov v obciach, VÚC   a v RO a PO zriadených obcou alebo VÚC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691 - Výnosy z bežných transferov z rozpočtu obce, VÚC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0,00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692 - Výnosy z kapitálových transferov z rozpočtu obce, VÚC z toho:</w:t>
            </w:r>
          </w:p>
          <w:p>
            <w:pPr>
              <w:pStyle w:val="Normal"/>
              <w:widowControl w:val="false"/>
              <w:numPr>
                <w:ilvl w:val="0"/>
                <w:numId w:val="25"/>
              </w:numPr>
              <w:rPr/>
            </w:pPr>
            <w:r>
              <w:rPr/>
              <w:t>zúčtovanie kapitálového transferu zriaďovateľa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693 - Výnosy samosprávy z bežných transferov zo ŠR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bežný transfer na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44334,13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5721,86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694 - Výnosy samosprávy z kapitálových transferov zo ŠR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zúčtovanie kapitálového transferu zo ŠR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750,00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750,00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695 - Výnosy samosprávy z bežných transferov od EÚ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696 - Výnosy samosprávy z kapitálových transferov od EÚ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zúčtovanie kapitálového transferu od EÚ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697 - Výnosy samosprávy z bežných transferov od ostatných subjektov mimo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772,41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698 - Výnosy samosprávy z kapitálových transferov od ostatných subjektov mimo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zúčtovanie kapitálového transferu od ostatných subjektov mimo verejnej správy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699 - Výnosy samosprávy  z odvodu rozpočtových príjmov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zinkasované príjmy RO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ostatné výnosy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641 - Tržby z predaja DNM a DHM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3574,30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996,45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642 - Tržby z predaja materiálu z toho: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644 - Zmluvné pokuty, penále a úroky z omeškania z toho: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645 - Ostatné pokuty, penále a úroky z omeškania z toho: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60</w:t>
            </w:r>
            <w:r>
              <w:rPr/>
              <w:t>0,</w:t>
            </w:r>
            <w:r>
              <w:rPr/>
              <w:t>00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646 - Výnosy z odpísaných pohľadávok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648 - Ostatné výnosy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3026,09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2208,21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7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zúčtovanie rezerv, opravných položiek, časového rozlíšenia</w:t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653 - Zúčtovanie ostatných rezerv z prevádzkovej činnosti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7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658 - Zúčtovanie ostatných opravných položiek z prevádzkovej činnosti</w:t>
            </w:r>
          </w:p>
          <w:p>
            <w:pPr>
              <w:pStyle w:val="Normal"/>
              <w:widowControl w:val="false"/>
              <w:rPr/>
            </w:pPr>
            <w:r>
              <w:rPr/>
              <w:t>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57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18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Normal"/>
        <w:ind w:left="284" w:right="0" w:hanging="0"/>
        <w:rPr>
          <w:b/>
        </w:rPr>
      </w:pPr>
      <w:r>
        <w:rPr>
          <w:b/>
        </w:rPr>
      </w:r>
    </w:p>
    <w:p>
      <w:pPr>
        <w:pStyle w:val="Normal"/>
        <w:ind w:left="284" w:right="0" w:hanging="0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23"/>
        </w:numPr>
        <w:ind w:left="284" w:right="0" w:hanging="284"/>
        <w:rPr>
          <w:b/>
        </w:rPr>
      </w:pPr>
      <w:r>
        <w:rPr>
          <w:b/>
          <w:sz w:val="24"/>
          <w:szCs w:val="24"/>
        </w:rPr>
        <w:t>Náklady - opis a výška významných položiek nákladov</w:t>
      </w:r>
    </w:p>
    <w:tbl>
      <w:tblPr>
        <w:tblW w:w="10452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5911"/>
        <w:gridCol w:w="2213"/>
        <w:gridCol w:w="2328"/>
      </w:tblGrid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Opis /číslo účtu a názov/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3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Suma k 31.12.202</w:t>
            </w:r>
            <w:r>
              <w:rPr>
                <w:b/>
              </w:rPr>
              <w:t>2</w:t>
            </w:r>
          </w:p>
        </w:tc>
      </w:tr>
      <w:tr>
        <w:trPr>
          <w:trHeight w:val="347" w:hRule="atLeast"/>
        </w:trPr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spotrebované nákupy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501 - Spotreba materiálu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16221,94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13416,34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502 - Spotreba energie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4440,82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3112,71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507 - Predaná nehnuteľnosť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služby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511 - Opravy a udržiavanie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oprava xxx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3597,66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1969,57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512 – Cestovné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8,59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149,81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513 - Náklady na reprezentáciu 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3224,37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1943,19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518 - Ostatné služby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18683,23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22667,43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osobné náklady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521 - Mzdové náklady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52117,10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59760,37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524 - Zákonné sociálne náklady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18400,26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19379,60</w:t>
            </w:r>
          </w:p>
        </w:tc>
      </w:tr>
      <w:tr>
        <w:trPr>
          <w:trHeight w:val="169" w:hRule="atLeast"/>
        </w:trPr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525 - Ostatné sociálne náklady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720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720</w:t>
            </w:r>
          </w:p>
        </w:tc>
      </w:tr>
      <w:tr>
        <w:trPr>
          <w:trHeight w:val="156" w:hRule="atLeast"/>
        </w:trPr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527 - Zákonné sociálne náklady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3382,61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2539,26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dane a poplatky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532 - Daň z nehnuteľností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538 - Ostatné dane a poplatky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2684,30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1965,89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>
                <w:b/>
              </w:rPr>
            </w:pPr>
            <w:r>
              <w:rPr>
                <w:b/>
              </w:rPr>
              <w:t>893, odpisy, rezervy a opravné položky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551 - Odpisy  DNM a DHM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odpisy z vlastných zdrojov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odpisy z cudzích zdrojov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5651,36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5769,02</w:t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  <w:p>
            <w:pPr>
              <w:pStyle w:val="Normal"/>
              <w:widowControl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553 - Tvorba ostatných rezerv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558 - Tvorba ostatných opravných položiek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k daňovým pohľadávkam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k nedaňovým pohľadávkam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0,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>
                <w:b/>
              </w:rPr>
            </w:pPr>
            <w:r>
              <w:rPr>
                <w:b/>
              </w:rPr>
              <w:t>finančné náklady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561 - Predané CP a podiely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562 - Úroky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568 - Ostatné finančné náklady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717,97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367,80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mimoriadne náklady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572 - Škody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/>
            </w:pPr>
            <w:r>
              <w:rPr>
                <w:b/>
              </w:rPr>
              <w:t xml:space="preserve"> </w:t>
            </w:r>
            <w:r>
              <w:rPr>
                <w:b/>
              </w:rPr>
              <w:t>náklady na transfery a náklady z odvodov príjmov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584 - Náklady na transfery z rozpočtu obce, VÚC do RO, PO zriadených obcou alebo VÚC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bežný transfer xxx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zúčtovanie kapitálového transferu u zriaďovateľa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585 - Náklady na transfery z rozpočtu obce, VÚC ostatným subjektov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bežný transfer xxx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586 - Náklady na transfery z rozpočtu obce, VÚC subjektov mimo verejnej správy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bežný transfer xxx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587 - Náklady na ostatné transfery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bežný transfer xxx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588 - Náklady z odvodu príjmov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predpis odvodu príjmov RO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589 - Náklady z budúceho odvodu príjmov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  <w:t>predpis budúceho odvodu príjmov RO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>
                <w:b/>
              </w:rPr>
            </w:pPr>
            <w:r>
              <w:rPr>
                <w:b/>
              </w:rPr>
              <w:t>ostatné náklady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>
                <w:b/>
              </w:rPr>
            </w:pPr>
            <w:r>
              <w:rPr>
                <w:b/>
              </w:rPr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541 - ZC predaného DNM a DHM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542 - Predaný materiál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544 - Zmluvné pokuty, penále a úroky z omeškania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545 - Ostatné pokuty, penále a úroky z omeškania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546 - Odpis pohľadávky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548 - Ostatné náklady na prevádzkovú činnosť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2472,18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2417,63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549 - Manká a škody z toho:</w:t>
            </w:r>
          </w:p>
          <w:p>
            <w:pPr>
              <w:pStyle w:val="Normal"/>
              <w:widowControl w:val="false"/>
              <w:numPr>
                <w:ilvl w:val="0"/>
                <w:numId w:val="15"/>
              </w:numPr>
              <w:ind w:left="318" w:right="0" w:hanging="142"/>
              <w:rPr/>
            </w:pPr>
            <w:r>
              <w:rPr/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  <w:tr>
        <w:trPr/>
        <w:tc>
          <w:tcPr>
            <w:tcW w:w="591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numPr>
                <w:ilvl w:val="0"/>
                <w:numId w:val="11"/>
              </w:numPr>
              <w:ind w:left="185" w:right="0" w:hanging="185"/>
              <w:rPr/>
            </w:pPr>
            <w:r>
              <w:rPr>
                <w:b/>
              </w:rPr>
              <w:t>dane z príjmov</w:t>
            </w:r>
          </w:p>
          <w:p>
            <w:pPr>
              <w:pStyle w:val="Normal"/>
              <w:widowControl w:val="false"/>
              <w:rPr/>
            </w:pPr>
            <w:r>
              <w:rPr/>
              <w:t>591 - Splatná daň z príjmov</w:t>
            </w:r>
          </w:p>
        </w:tc>
        <w:tc>
          <w:tcPr>
            <w:tcW w:w="221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  <w:tc>
          <w:tcPr>
            <w:tcW w:w="23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jc w:val="right"/>
              <w:rPr/>
            </w:pPr>
            <w:r>
              <w:rPr/>
              <w:t>0</w:t>
            </w:r>
          </w:p>
        </w:tc>
      </w:tr>
    </w:tbl>
    <w:p>
      <w:pPr>
        <w:pStyle w:val="Normal"/>
        <w:ind w:left="284" w:right="0" w:hanging="0"/>
        <w:rPr>
          <w:b/>
        </w:rPr>
      </w:pPr>
      <w:r>
        <w:rPr>
          <w:b/>
        </w:rPr>
      </w:r>
    </w:p>
    <w:p>
      <w:pPr>
        <w:pStyle w:val="Normal"/>
        <w:ind w:left="284" w:right="0" w:hanging="0"/>
        <w:jc w:val="both"/>
        <w:rPr>
          <w:b/>
        </w:rPr>
      </w:pPr>
      <w:r>
        <w:rPr>
          <w:b/>
        </w:rPr>
      </w:r>
    </w:p>
    <w:p>
      <w:pPr>
        <w:pStyle w:val="Normal"/>
        <w:numPr>
          <w:ilvl w:val="0"/>
          <w:numId w:val="15"/>
        </w:numPr>
        <w:tabs>
          <w:tab w:val="clear" w:pos="708"/>
          <w:tab w:val="left" w:pos="567" w:leader="none"/>
        </w:tabs>
        <w:ind w:left="426" w:right="0" w:hanging="142"/>
        <w:jc w:val="both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ind w:left="284" w:right="0" w:hanging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ind w:left="284" w:right="0" w:hanging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Čl. VII</w:t>
      </w:r>
    </w:p>
    <w:p>
      <w:pPr>
        <w:pStyle w:val="Normal"/>
        <w:jc w:val="center"/>
        <w:rPr>
          <w:b/>
          <w:color w:val="FF0000"/>
          <w:sz w:val="24"/>
          <w:szCs w:val="24"/>
        </w:rPr>
      </w:pPr>
      <w:r>
        <w:rPr>
          <w:b/>
          <w:sz w:val="24"/>
          <w:szCs w:val="24"/>
        </w:rPr>
        <w:t>Informácie o  iných aktívach a iných pasívach</w:t>
      </w:r>
    </w:p>
    <w:p>
      <w:pPr>
        <w:pStyle w:val="Pismenka"/>
        <w:tabs>
          <w:tab w:val="clear" w:pos="426"/>
        </w:tabs>
        <w:ind w:left="360" w:right="0" w:hanging="0"/>
        <w:rPr>
          <w:b/>
          <w:color w:val="FF0000"/>
          <w:sz w:val="24"/>
          <w:szCs w:val="24"/>
        </w:rPr>
      </w:pPr>
      <w:r>
        <w:rPr>
          <w:b/>
          <w:color w:val="FF0000"/>
          <w:sz w:val="24"/>
          <w:szCs w:val="24"/>
        </w:rPr>
      </w:r>
    </w:p>
    <w:p>
      <w:pPr>
        <w:pStyle w:val="Normal"/>
        <w:numPr>
          <w:ilvl w:val="0"/>
          <w:numId w:val="2"/>
        </w:numPr>
        <w:ind w:left="284" w:right="0" w:hanging="284"/>
        <w:rPr>
          <w:sz w:val="24"/>
          <w:szCs w:val="24"/>
        </w:rPr>
      </w:pPr>
      <w:r>
        <w:rPr>
          <w:b/>
          <w:sz w:val="24"/>
          <w:szCs w:val="24"/>
        </w:rPr>
        <w:t xml:space="preserve">Iné aktíva a iné pasíva </w:t>
      </w:r>
    </w:p>
    <w:p>
      <w:pPr>
        <w:pStyle w:val="Pismenka"/>
        <w:numPr>
          <w:ilvl w:val="0"/>
          <w:numId w:val="18"/>
        </w:numPr>
        <w:ind w:left="284" w:right="0" w:hanging="284"/>
        <w:rPr>
          <w:b w:val="false"/>
          <w:color w:val="FF0000"/>
          <w:sz w:val="24"/>
          <w:szCs w:val="24"/>
        </w:rPr>
      </w:pPr>
      <w:r>
        <w:rPr>
          <w:sz w:val="24"/>
          <w:szCs w:val="24"/>
        </w:rPr>
        <w:t>opis a hodnota iných aktív</w:t>
      </w:r>
      <w:r>
        <w:rPr>
          <w:b w:val="false"/>
          <w:sz w:val="24"/>
          <w:szCs w:val="24"/>
        </w:rPr>
        <w:t xml:space="preserve">, ktorými sa rozumie možný majetok, ktorý vznikol v dôsledku minulých udalostí a ktorého existencia alebo vlastníctvo závisí od toho, či nastane alebo nenastane jedna alebo viac neistých udalostí v budúcnosti, ktorých vznik nezávisí od účtovnej jednotky - tabuľka č.10. </w:t>
      </w:r>
    </w:p>
    <w:p>
      <w:pPr>
        <w:pStyle w:val="Pismenka"/>
        <w:tabs>
          <w:tab w:val="clear" w:pos="426"/>
        </w:tabs>
        <w:ind w:left="0" w:right="0" w:hanging="0"/>
        <w:rPr>
          <w:b w:val="false"/>
          <w:color w:val="FF0000"/>
          <w:sz w:val="24"/>
          <w:szCs w:val="24"/>
        </w:rPr>
      </w:pPr>
      <w:r>
        <w:rPr>
          <w:b w:val="false"/>
          <w:color w:val="FF0000"/>
          <w:sz w:val="24"/>
          <w:szCs w:val="24"/>
        </w:rPr>
      </w:r>
    </w:p>
    <w:p>
      <w:pPr>
        <w:pStyle w:val="Pismenka"/>
        <w:numPr>
          <w:ilvl w:val="0"/>
          <w:numId w:val="18"/>
        </w:numPr>
        <w:ind w:left="284" w:right="0" w:hanging="284"/>
        <w:rPr>
          <w:sz w:val="24"/>
          <w:szCs w:val="24"/>
        </w:rPr>
      </w:pPr>
      <w:r>
        <w:rPr>
          <w:sz w:val="24"/>
          <w:szCs w:val="24"/>
        </w:rPr>
        <w:t>opis a hodnota iných pasív</w:t>
      </w:r>
      <w:r>
        <w:rPr>
          <w:b w:val="false"/>
          <w:sz w:val="24"/>
          <w:szCs w:val="24"/>
        </w:rPr>
        <w:t>, vyplývajúcich zo súdnych rozhodnutí, z poskytnutých záruk, zo všeobecne záväzných právnych predpisov, z ručenia podľa jednotlivých druhov ručenia, takýmito inými pasívami sú:</w:t>
      </w:r>
    </w:p>
    <w:p>
      <w:pPr>
        <w:pStyle w:val="Pismenka"/>
        <w:numPr>
          <w:ilvl w:val="0"/>
          <w:numId w:val="27"/>
        </w:numPr>
        <w:ind w:left="644" w:right="0" w:hanging="360"/>
        <w:rPr>
          <w:sz w:val="24"/>
          <w:szCs w:val="24"/>
        </w:rPr>
      </w:pPr>
      <w:r>
        <w:rPr>
          <w:sz w:val="24"/>
          <w:szCs w:val="24"/>
        </w:rPr>
        <w:t>možná povinnosť</w:t>
      </w:r>
      <w:r>
        <w:rPr>
          <w:b w:val="false"/>
          <w:sz w:val="24"/>
          <w:szCs w:val="24"/>
        </w:rPr>
        <w:t xml:space="preserve">, ktorá vznikla ako dôsledok minulej udalosti a ktorej existencia závisí od toho, či nastane alebo nenastane jedna alebo viac neistých udalostí v budúcnosti, ktorých vznik nezávisí od účtovnej jednotky, alebo </w:t>
      </w:r>
    </w:p>
    <w:p>
      <w:pPr>
        <w:pStyle w:val="Pismenka"/>
        <w:numPr>
          <w:ilvl w:val="0"/>
          <w:numId w:val="27"/>
        </w:numPr>
        <w:ind w:left="644" w:right="0" w:hanging="360"/>
        <w:rPr>
          <w:b/>
          <w:sz w:val="24"/>
          <w:szCs w:val="24"/>
        </w:rPr>
      </w:pPr>
      <w:r>
        <w:rPr>
          <w:sz w:val="24"/>
          <w:szCs w:val="24"/>
        </w:rPr>
        <w:t xml:space="preserve">povinnosť, </w:t>
      </w:r>
      <w:r>
        <w:rPr>
          <w:b w:val="false"/>
          <w:sz w:val="24"/>
          <w:szCs w:val="24"/>
        </w:rPr>
        <w:t xml:space="preserve">ktorá vznikla ako dôsledok minulej udalosti, ale ktorá sa nevykazuje v súvahe, pretože nie je pravdepodobné, že na splnenie tejto povinnosti bude potrebný úbytok ekonomických úžitkov, alebo výška tejto povinnosti sa nedá spoľahlivo oceniť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Čl. VIII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účtovnej jednotky a spriaznených osôb</w:t>
      </w:r>
    </w:p>
    <w:p>
      <w:pPr>
        <w:pStyle w:val="Normal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 xml:space="preserve"> </w:t>
      </w:r>
    </w:p>
    <w:p>
      <w:pPr>
        <w:pStyle w:val="Normal"/>
        <w:numPr>
          <w:ilvl w:val="0"/>
          <w:numId w:val="9"/>
        </w:numPr>
        <w:ind w:left="284" w:right="0" w:hanging="284"/>
        <w:rPr>
          <w:b/>
          <w:color w:val="000000"/>
          <w:sz w:val="24"/>
          <w:szCs w:val="24"/>
        </w:rPr>
      </w:pPr>
      <w:r>
        <w:rPr>
          <w:b/>
          <w:sz w:val="24"/>
          <w:szCs w:val="24"/>
        </w:rPr>
        <w:t xml:space="preserve">Informácie o spriaznených osobách a o ekonomických vzťahoch účtovnej jednotky a spriaznených osôb </w:t>
      </w:r>
    </w:p>
    <w:p>
      <w:pPr>
        <w:pStyle w:val="Normal"/>
        <w:numPr>
          <w:ilvl w:val="0"/>
          <w:numId w:val="8"/>
        </w:numPr>
        <w:ind w:left="284" w:right="0" w:hanging="284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jc w:val="both"/>
        <w:rPr>
          <w:b/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>Na základe usmernenia MF SR: Ako informácie o spriaznených osobách sa uvádzajú obchody a transakcie medzi účtovnou jednotkou a inými právnickými osobami, ktoré sú vo vzťahu k účtovnej jednotke dcérskou účtovnou jednotkou alebo materskou účtovnou jednotkou. Nie je potrebné uvádzať transferové vzťahy medzi obcou resp. VÚC  a rozpočtovými organizáciami a príspevkovými organizáciami</w:t>
      </w:r>
      <w:r>
        <w:rPr>
          <w:color w:val="000000"/>
        </w:rPr>
        <w:t xml:space="preserve"> v ich zriaďovateľskej pôsobnosti. Uvádzajú sa tu najmä transfery a iné vzťahy voči obchodným spoločnostiam v rámci konsolido</w:t>
      </w:r>
      <w:r>
        <w:rPr/>
        <w:t>vaného celku.</w:t>
      </w:r>
    </w:p>
    <w:tbl>
      <w:tblPr>
        <w:tblW w:w="1018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2127"/>
        <w:gridCol w:w="1701"/>
        <w:gridCol w:w="1984"/>
        <w:gridCol w:w="2263"/>
        <w:gridCol w:w="2109"/>
      </w:tblGrid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snapToGrid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obchodu/</w:t>
            </w:r>
          </w:p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druh transakcie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Hodnotové vyjadrenie obchodu/transakcie</w:t>
            </w:r>
          </w:p>
          <w:p>
            <w:pPr>
              <w:pStyle w:val="Normal"/>
              <w:widowControl w:val="false"/>
              <w:jc w:val="center"/>
              <w:rPr/>
            </w:pPr>
            <w:r>
              <w:rPr/>
              <w:t>alebo percentuálne vyjadrenie obchodu/transakcie  k celkovému objemu obchodov/transakcií  realizovaných ÚJ</w:t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Informácia o neukončených obchodoch/transakciách v hodnotovom vyjadrení obchodu/transakcie alebo percentuálnom vyjadrení obchodu/transakcie k celkovému objemu obchodov/transakcií  realizovaných ÚJ</w:t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/>
            </w:pPr>
            <w:r>
              <w:rPr/>
              <w:t>Informácia o cenách/hodnotách realizovaných obchodov/transakcií  medzi účtovnou jednotkou a spriaznenými osobami</w:t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highlight w:val="yellow"/>
              </w:rPr>
            </w:pPr>
            <w:r>
              <w:rPr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Kúpa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Predaj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služby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Obchodné zastúpenie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Licencie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Transféry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Know-how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Úver, pôžička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Výpomoc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Záruka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Iné obchody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color w:val="FF0000"/>
                <w:sz w:val="18"/>
                <w:szCs w:val="18"/>
                <w:highlight w:val="yellow"/>
              </w:rPr>
            </w:pPr>
            <w:r>
              <w:rPr>
                <w:color w:val="FF0000"/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Vklad od základného imania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Navýšenie základného imania obchodnej spoločnosti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Poskytnutie návratnej finančnej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Splatenie poskytnutej návratnej finančnej výpomoci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/>
            </w:pPr>
            <w:r>
              <w:rPr/>
              <w:t>OS XXX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bežné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  <w:t>Poskytnutý transfer na kapitálové výdavky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</w:rPr>
            </w:pPr>
            <w:r>
              <w:rPr>
                <w:sz w:val="18"/>
                <w:szCs w:val="18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z w:val="18"/>
                <w:szCs w:val="18"/>
                <w:highlight w:val="yellow"/>
              </w:rPr>
            </w:pPr>
            <w:r>
              <w:rPr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</w:tr>
      <w:tr>
        <w:trPr/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  <w:tc>
          <w:tcPr>
            <w:tcW w:w="21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strike/>
                <w:sz w:val="18"/>
                <w:szCs w:val="18"/>
                <w:highlight w:val="yellow"/>
              </w:rPr>
            </w:pPr>
            <w:r>
              <w:rPr>
                <w:strike/>
                <w:sz w:val="18"/>
                <w:szCs w:val="18"/>
                <w:highlight w:val="yellow"/>
              </w:rPr>
            </w:r>
          </w:p>
        </w:tc>
      </w:tr>
    </w:tbl>
    <w:p>
      <w:pPr>
        <w:pStyle w:val="Normal"/>
        <w:ind w:left="284" w:right="0" w:hanging="0"/>
        <w:jc w:val="both"/>
        <w:rPr>
          <w:b/>
          <w:color w:val="000000"/>
          <w:sz w:val="24"/>
          <w:szCs w:val="24"/>
        </w:rPr>
      </w:pPr>
      <w:r>
        <w:rPr>
          <w:b/>
          <w:color w:val="000000"/>
          <w:sz w:val="24"/>
          <w:szCs w:val="24"/>
        </w:rPr>
      </w:r>
    </w:p>
    <w:p>
      <w:pPr>
        <w:pStyle w:val="Normal"/>
        <w:numPr>
          <w:ilvl w:val="0"/>
          <w:numId w:val="8"/>
        </w:numPr>
        <w:ind w:left="284" w:right="0" w:hanging="284"/>
        <w:rPr>
          <w:b/>
        </w:rPr>
      </w:pPr>
      <w:r>
        <w:rPr>
          <w:b/>
          <w:sz w:val="24"/>
          <w:szCs w:val="24"/>
        </w:rPr>
        <w:t xml:space="preserve">opis a hodnota podmienených záväzkov voči spriazneným osobám </w:t>
      </w:r>
    </w:p>
    <w:tbl>
      <w:tblPr>
        <w:tblW w:w="10184" w:type="dxa"/>
        <w:jc w:val="left"/>
        <w:tblInd w:w="70" w:type="dxa"/>
        <w:tblLayout w:type="fixed"/>
        <w:tblCellMar>
          <w:top w:w="0" w:type="dxa"/>
          <w:left w:w="70" w:type="dxa"/>
          <w:bottom w:w="0" w:type="dxa"/>
          <w:right w:w="70" w:type="dxa"/>
        </w:tblCellMar>
      </w:tblPr>
      <w:tblGrid>
        <w:gridCol w:w="3680"/>
        <w:gridCol w:w="2944"/>
        <w:gridCol w:w="3560"/>
      </w:tblGrid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Spriaznená osoba</w:t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Podmienené záväzky</w:t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fill="F2F2F2" w:val="clear"/>
          </w:tcPr>
          <w:p>
            <w:pPr>
              <w:pStyle w:val="Normal"/>
              <w:widowControl w:val="false"/>
              <w:jc w:val="center"/>
              <w:rPr>
                <w:b/>
              </w:rPr>
            </w:pPr>
            <w:r>
              <w:rPr>
                <w:b/>
              </w:rPr>
              <w:t>Hodnota podmienených záväzkov</w:t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</w:rPr>
            </w:pPr>
            <w:r>
              <w:rPr>
                <w:b/>
              </w:rPr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  <w:tr>
        <w:trPr/>
        <w:tc>
          <w:tcPr>
            <w:tcW w:w="36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29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  <w:tc>
          <w:tcPr>
            <w:tcW w:w="3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>
            <w:pPr>
              <w:pStyle w:val="Normal"/>
              <w:widowControl w:val="false"/>
              <w:snapToGrid w:val="false"/>
              <w:rPr>
                <w:b/>
                <w:sz w:val="18"/>
                <w:szCs w:val="18"/>
              </w:rPr>
            </w:pPr>
            <w:r>
              <w:rPr>
                <w:b/>
                <w:sz w:val="18"/>
                <w:szCs w:val="18"/>
              </w:rPr>
            </w:r>
          </w:p>
        </w:tc>
      </w:tr>
    </w:tbl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>Čl. IX</w:t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 xml:space="preserve">Informácie o rozpočte a hodnotenie plnenia rozpočtu 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  <w:sz w:val="24"/>
          <w:szCs w:val="24"/>
        </w:rPr>
        <w:t>Informácie o rozpočte a hodnotenie plnenia rozpočtu -</w:t>
      </w:r>
    </w:p>
    <w:p>
      <w:pPr>
        <w:pStyle w:val="Pismenka"/>
        <w:tabs>
          <w:tab w:val="clear" w:pos="426"/>
        </w:tabs>
        <w:ind w:left="0" w:right="0" w:hanging="0"/>
        <w:jc w:val="left"/>
        <w:rPr>
          <w:b/>
        </w:rPr>
      </w:pPr>
      <w:r>
        <w:rPr>
          <w:b w:val="false"/>
          <w:sz w:val="24"/>
          <w:szCs w:val="24"/>
        </w:rPr>
        <w:t>Textová časť k tabuľke č.12-14:</w:t>
      </w:r>
    </w:p>
    <w:p>
      <w:pPr>
        <w:pStyle w:val="Normal"/>
        <w:jc w:val="both"/>
        <w:rPr>
          <w:b/>
        </w:rPr>
      </w:pPr>
      <w:r>
        <w:rPr>
          <w:sz w:val="24"/>
          <w:szCs w:val="24"/>
        </w:rPr>
        <w:t>Rozpočet</w:t>
      </w:r>
      <w:r>
        <w:rPr>
          <w:color w:val="000000"/>
          <w:sz w:val="24"/>
          <w:szCs w:val="24"/>
        </w:rPr>
        <w:t xml:space="preserve"> obce</w:t>
      </w:r>
      <w:r>
        <w:rPr>
          <w:sz w:val="24"/>
          <w:szCs w:val="24"/>
        </w:rPr>
        <w:t xml:space="preserve"> bol schválený</w:t>
      </w:r>
      <w:r>
        <w:rPr>
          <w:color w:val="000000"/>
          <w:sz w:val="24"/>
          <w:szCs w:val="24"/>
        </w:rPr>
        <w:t xml:space="preserve"> obecným</w:t>
      </w:r>
      <w:r>
        <w:rPr>
          <w:sz w:val="24"/>
          <w:szCs w:val="24"/>
        </w:rPr>
        <w:t xml:space="preserve"> zastupiteľstvom dňa 15.12.202</w:t>
      </w:r>
      <w:r>
        <w:rPr>
          <w:b/>
          <w:sz w:val="24"/>
          <w:szCs w:val="24"/>
        </w:rPr>
        <w:t>2</w:t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b/>
          <w:sz w:val="24"/>
          <w:szCs w:val="24"/>
        </w:rPr>
        <w:t xml:space="preserve">                                                                                </w:t>
      </w:r>
      <w:r>
        <w:rPr>
          <w:b/>
          <w:sz w:val="24"/>
          <w:szCs w:val="24"/>
        </w:rPr>
        <w:t>Čl. X</w:t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 xml:space="preserve">Informácie o skutočnostiach, ktoré nastali po dni, ku ktorému sa zostavuje účtovná závierka </w:t>
      </w:r>
    </w:p>
    <w:p>
      <w:pPr>
        <w:pStyle w:val="Normal"/>
        <w:jc w:val="center"/>
        <w:rPr>
          <w:b/>
        </w:rPr>
      </w:pPr>
      <w:r>
        <w:rPr>
          <w:b/>
          <w:sz w:val="24"/>
          <w:szCs w:val="24"/>
        </w:rPr>
        <w:t>do dňa zostavenia účtovnej závierky</w:t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center"/>
        <w:rPr>
          <w:b/>
        </w:rPr>
      </w:pPr>
      <w:r>
        <w:rPr>
          <w:b/>
        </w:rPr>
      </w:r>
    </w:p>
    <w:p>
      <w:pPr>
        <w:pStyle w:val="Normal"/>
        <w:jc w:val="both"/>
        <w:rPr>
          <w:b/>
        </w:rPr>
      </w:pPr>
      <w:r>
        <w:rPr>
          <w:sz w:val="24"/>
          <w:szCs w:val="24"/>
        </w:rPr>
        <w:t xml:space="preserve">Po 31. decembri </w:t>
      </w:r>
      <w:r>
        <w:rPr>
          <w:iCs/>
          <w:sz w:val="24"/>
          <w:szCs w:val="24"/>
        </w:rPr>
        <w:t>202</w:t>
      </w:r>
      <w:r>
        <w:rPr>
          <w:iCs/>
          <w:sz w:val="24"/>
          <w:szCs w:val="24"/>
        </w:rPr>
        <w:t>3</w:t>
      </w:r>
      <w:r>
        <w:rPr>
          <w:sz w:val="24"/>
          <w:szCs w:val="24"/>
        </w:rPr>
        <w:t xml:space="preserve"> nenastali také udalosti, ktoré by si vyžadovali zverejnenie alebo vykázanie v účtovnej závierke za rok 202</w:t>
      </w:r>
      <w:r>
        <w:rPr>
          <w:sz w:val="24"/>
          <w:szCs w:val="24"/>
        </w:rPr>
        <w:t>3</w:t>
      </w:r>
      <w:r>
        <w:rPr>
          <w:sz w:val="24"/>
          <w:szCs w:val="24"/>
        </w:rPr>
        <w:t>.</w:t>
      </w:r>
    </w:p>
    <w:p>
      <w:pPr>
        <w:pStyle w:val="Normal"/>
        <w:spacing w:lineRule="auto" w:line="360"/>
        <w:rPr>
          <w:b/>
        </w:rPr>
      </w:pPr>
      <w:r>
        <w:rPr/>
      </w:r>
    </w:p>
    <w:sectPr>
      <w:headerReference w:type="default" r:id="rId2"/>
      <w:footerReference w:type="default" r:id="rId3"/>
      <w:type w:val="nextPage"/>
      <w:pgSz w:w="11906" w:h="16838"/>
      <w:pgMar w:left="1134" w:right="566" w:gutter="0" w:header="709" w:top="851" w:footer="709" w:bottom="851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ee"/>
    <w:family w:val="roman"/>
    <w:pitch w:val="variable"/>
  </w:font>
  <w:font w:name="Times New Roman">
    <w:charset w:val="ee"/>
    <w:family w:val="roman"/>
    <w:pitch w:val="variable"/>
  </w:font>
  <w:font w:name="Courier New">
    <w:charset w:val="ee"/>
    <w:family w:val="roman"/>
    <w:pitch w:val="variable"/>
  </w:font>
  <w:font w:name="Wingdings">
    <w:charset w:val="ee"/>
    <w:family w:val="roman"/>
    <w:pitch w:val="variable"/>
  </w:font>
  <w:font w:name="Symbol">
    <w:charset w:val="ee"/>
    <w:family w:val="roman"/>
    <w:pitch w:val="variable"/>
  </w:font>
  <w:font w:name="Liberation Sans">
    <w:altName w:val="Arial"/>
    <w:charset w:val="ee"/>
    <w:family w:val="roman"/>
    <w:pitch w:val="variable"/>
  </w:font>
  <w:font w:name="Tahoma">
    <w:charset w:val="ee"/>
    <w:family w:val="roman"/>
    <w:pitch w:val="variable"/>
  </w:font>
  <w:font w:name="Arial Narrow">
    <w:charset w:val="ee"/>
    <w:family w:val="roman"/>
    <w:pitch w:val="variable"/>
  </w:font>
  <w:font w:name="Times New Roman">
    <w:charset w:val="01"/>
    <w:family w:val="roman"/>
    <w:pitch w:val="variable"/>
  </w:font>
</w:fonts>
</file>

<file path=word/footer1.xml><?xml version="1.0" encoding="utf-8"?>
<w:ft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Pta"/>
      <w:ind w:left="0" w:right="360" w:hanging="0"/>
      <w:rPr/>
    </w:pPr>
    <w:r>
      <w:rPr/>
      <mc:AlternateContent>
        <mc:Choice Requires="wps">
          <w:drawing>
            <wp:anchor behindDoc="1" distT="0" distB="0" distL="0" distR="0" simplePos="0" locked="0" layoutInCell="0" allowOverlap="1" relativeHeight="30">
              <wp:simplePos x="0" y="0"/>
              <wp:positionH relativeFrom="page">
                <wp:posOffset>7121525</wp:posOffset>
              </wp:positionH>
              <wp:positionV relativeFrom="paragraph">
                <wp:posOffset>48895</wp:posOffset>
              </wp:positionV>
              <wp:extent cx="118745" cy="137795"/>
              <wp:effectExtent l="0" t="0" r="0" b="0"/>
              <wp:wrapSquare wrapText="largest"/>
              <wp:docPr id="1" name="Rámec1"/>
              <a:graphic xmlns:a="http://schemas.openxmlformats.org/drawingml/2006/main">
                <a:graphicData uri="http://schemas.microsoft.com/office/word/2010/wordprocessingShape">
                  <wps:wsp>
                    <wps:cNvSpPr/>
                    <wps:spPr>
                      <a:xfrm>
                        <a:off x="0" y="0"/>
                        <a:ext cx="118800" cy="137880"/>
                      </a:xfrm>
                      <a:prstGeom prst="rect">
                        <a:avLst/>
                      </a:prstGeom>
                      <a:solidFill>
                        <a:srgbClr val="ffffff"/>
                      </a:solidFill>
                      <a:ln w="0">
                        <a:noFill/>
                      </a:ln>
                    </wps:spPr>
                    <wps:style>
                      <a:lnRef idx="0"/>
                      <a:fillRef idx="0"/>
                      <a:effectRef idx="0"/>
                      <a:fontRef idx="minor"/>
                    </wps:style>
                    <wps:txbx>
                      <w:txbxContent>
                        <w:p>
                          <w:pPr>
                            <w:pStyle w:val="Pta"/>
                            <w:rPr/>
                          </w:pPr>
                          <w:r>
                            <w:rPr>
                              <w:rStyle w:val="Slostrany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t>5</w:t>
                          </w:r>
                          <w:r>
                            <w:rPr>
                              <w:rStyle w:val="Slostrany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9000" rIns="9000" tIns="9000" bIns="9000" anchor="t">
                      <a:noAutofit/>
                    </wps:bodyPr>
                  </wps:wsp>
                </a:graphicData>
              </a:graphic>
            </wp:anchor>
          </w:drawing>
        </mc:Choice>
        <mc:Fallback>
          <w:pict>
            <v:rect id="shape_0" ID="Rámec1" path="m0,0l-2147483645,0l-2147483645,-2147483646l0,-2147483646xe" fillcolor="white" stroked="f" o:allowincell="f" style="position:absolute;margin-left:560.75pt;margin-top:3.85pt;width:9.3pt;height:10.8pt;mso-wrap-style:square;v-text-anchor:top;mso-position-horizontal-relative:page">
              <v:fill o:detectmouseclick="t" type="solid" color2="black"/>
              <v:stroke color="#3465a4" joinstyle="round" endcap="flat"/>
              <v:textbox>
                <w:txbxContent>
                  <w:p>
                    <w:pPr>
                      <w:pStyle w:val="Pta"/>
                      <w:rPr/>
                    </w:pPr>
                    <w:r>
                      <w:rPr>
                        <w:rStyle w:val="Slostrany"/>
                        <w:color w:val="000000"/>
                      </w:rPr>
                      <w:fldChar w:fldCharType="begin"/>
                    </w:r>
                    <w:r>
                      <w:rPr>
                        <w:rStyle w:val="Slostrany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Slostrany"/>
                        <w:color w:val="000000"/>
                      </w:rPr>
                      <w:fldChar w:fldCharType="separate"/>
                    </w:r>
                    <w:r>
                      <w:rPr>
                        <w:rStyle w:val="Slostrany"/>
                        <w:color w:val="000000"/>
                      </w:rPr>
                      <w:t>5</w:t>
                    </w:r>
                    <w:r>
                      <w:rPr>
                        <w:rStyle w:val="Slostrany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 side="largest"/>
            </v:rect>
          </w:pict>
        </mc:Fallback>
      </mc:AlternateContent>
    </w:r>
  </w:p>
</w:ftr>
</file>

<file path=word/header1.xml><?xml version="1.0" encoding="utf-8"?>
<w:hdr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p>
    <w:pPr>
      <w:pStyle w:val="Zhlavie"/>
      <w:tabs>
        <w:tab w:val="left" w:pos="708" w:leader="none"/>
        <w:tab w:val="center" w:pos="4536" w:leader="none"/>
        <w:tab w:val="right" w:pos="9072" w:leader="none"/>
      </w:tabs>
      <w:ind w:left="0" w:right="-82" w:hanging="0"/>
      <w:jc w:val="center"/>
      <w:rPr>
        <w:color w:val="FF0000"/>
        <w:sz w:val="24"/>
        <w:szCs w:val="24"/>
        <w:lang w:val="sk-SK"/>
      </w:rPr>
    </w:pPr>
    <w:r>
      <w:rPr>
        <w:i/>
        <w:sz w:val="24"/>
        <w:szCs w:val="24"/>
      </w:rPr>
      <w:t>Obec Ľuboreč,Ľuboreč 138, 98511 Halič</w:t>
    </w:r>
  </w:p>
  <w:p>
    <w:pPr>
      <w:pStyle w:val="Zhlavie"/>
      <w:pBdr>
        <w:bottom w:val="single" w:sz="4" w:space="1" w:color="000000"/>
      </w:pBdr>
      <w:jc w:val="center"/>
      <w:rPr>
        <w:color w:val="FF0000"/>
        <w:sz w:val="24"/>
        <w:szCs w:val="24"/>
        <w:lang w:val="sk-SK"/>
      </w:rPr>
    </w:pPr>
    <w:r>
      <w:rPr>
        <w:color w:val="FF0000"/>
        <w:sz w:val="24"/>
        <w:szCs w:val="24"/>
        <w:lang w:val="sk-SK"/>
      </w:rPr>
    </w:r>
  </w:p>
</w:hdr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  <w:bCs/>
        <w:rFonts w:cs="Tahoma"/>
        <w:lang w:bidi="zxx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5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7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9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2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3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4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5"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hAnsi="Times New Roman" w:cs="Times New Roman" w:hint="default"/>
        <w:sz w:val="24"/>
        <w:szCs w:val="24"/>
        <w:color w:val="FF0000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6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7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8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19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0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1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2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3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4"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sz w:val="24"/>
        <w:b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5">
    <w:lvl w:ilvl="0">
      <w:start w:val="1"/>
      <w:numFmt w:val="bullet"/>
      <w:lvlText w:val="-"/>
      <w:lvlJc w:val="left"/>
      <w:pPr>
        <w:tabs>
          <w:tab w:val="num" w:pos="0"/>
        </w:tabs>
        <w:ind w:left="678" w:hanging="360"/>
      </w:pPr>
      <w:rPr>
        <w:rFonts w:ascii="Times New Roman" w:hAnsi="Times New Roman" w:cs="Times New Roman" w:hint="default"/>
        <w:sz w:val="22"/>
        <w:szCs w:val="22"/>
        <w:color w:val="FF0000"/>
        <w:lang w:bidi="zxx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6">
    <w:lvl w:ilvl="0">
      <w:start w:val="1"/>
      <w:numFmt w:val="lowerLetter"/>
      <w:lvlText w:val="%1)"/>
      <w:lvlJc w:val="left"/>
      <w:pPr>
        <w:tabs>
          <w:tab w:val="num" w:pos="0"/>
        </w:tabs>
        <w:ind w:left="720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7">
    <w:lvl w:ilvl="0">
      <w:start w:val="1"/>
      <w:numFmt w:val="decimal"/>
      <w:lvlText w:val="%1."/>
      <w:lvlJc w:val="left"/>
      <w:pPr>
        <w:tabs>
          <w:tab w:val="num" w:pos="0"/>
        </w:tabs>
        <w:ind w:left="644" w:hanging="360"/>
      </w:pPr>
      <w:rPr>
        <w:sz w:val="24"/>
        <w:b w:val="false"/>
        <w:szCs w:val="24"/>
      </w:rPr>
    </w:lvl>
    <w:lvl w:ilvl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/>
    </w:lvl>
    <w:lvl w:ilvl="2">
      <w:start w:val="1"/>
      <w:numFmt w:val="decimal"/>
      <w:lvlText w:val="%3."/>
      <w:lvlJc w:val="left"/>
      <w:pPr>
        <w:tabs>
          <w:tab w:val="num" w:pos="1440"/>
        </w:tabs>
        <w:ind w:left="1440" w:hanging="360"/>
      </w:pPr>
      <w:rPr/>
    </w:lvl>
    <w:lvl w:ilvl="3">
      <w:start w:val="1"/>
      <w:numFmt w:val="decimal"/>
      <w:lvlText w:val="%4."/>
      <w:lvlJc w:val="left"/>
      <w:pPr>
        <w:tabs>
          <w:tab w:val="num" w:pos="1800"/>
        </w:tabs>
        <w:ind w:left="1800" w:hanging="360"/>
      </w:pPr>
      <w:rPr/>
    </w:lvl>
    <w:lvl w:ilvl="4">
      <w:start w:val="1"/>
      <w:numFmt w:val="decimal"/>
      <w:lvlText w:val="%5."/>
      <w:lvlJc w:val="left"/>
      <w:pPr>
        <w:tabs>
          <w:tab w:val="num" w:pos="2160"/>
        </w:tabs>
        <w:ind w:left="2160" w:hanging="360"/>
      </w:pPr>
      <w:rPr/>
    </w:lvl>
    <w:lvl w:ilvl="5">
      <w:start w:val="1"/>
      <w:numFmt w:val="decimal"/>
      <w:lvlText w:val="%6."/>
      <w:lvlJc w:val="left"/>
      <w:pPr>
        <w:tabs>
          <w:tab w:val="num" w:pos="2520"/>
        </w:tabs>
        <w:ind w:left="2520" w:hanging="360"/>
      </w:pPr>
      <w:rPr/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/>
    </w:lvl>
    <w:lvl w:ilvl="7">
      <w:start w:val="1"/>
      <w:numFmt w:val="decimal"/>
      <w:lvlText w:val="%8."/>
      <w:lvlJc w:val="left"/>
      <w:pPr>
        <w:tabs>
          <w:tab w:val="num" w:pos="3240"/>
        </w:tabs>
        <w:ind w:left="3240" w:hanging="360"/>
      </w:pPr>
      <w:rPr/>
    </w:lvl>
    <w:lvl w:ilvl="8">
      <w:start w:val="1"/>
      <w:numFmt w:val="decimal"/>
      <w:lvlText w:val="%9."/>
      <w:lvlJc w:val="left"/>
      <w:pPr>
        <w:tabs>
          <w:tab w:val="num" w:pos="3600"/>
        </w:tabs>
        <w:ind w:left="3600" w:hanging="360"/>
      </w:pPr>
      <w:rPr/>
    </w:lvl>
  </w:abstractNum>
  <w:abstractNum w:abstractNumId="28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  <w:num w:numId="26">
    <w:abstractNumId w:val="26"/>
  </w:num>
  <w:num w:numId="27">
    <w:abstractNumId w:val="27"/>
  </w:num>
  <w:num w:numId="28">
    <w:abstractNumId w:val="28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1"/>
  </w:compat>
  <w:themeFontLang w:val="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NSimSun" w:cs="Arial"/>
        <w:sz w:val="24"/>
        <w:szCs w:val="24"/>
        <w:lang w:val="sk-SK" w:eastAsia="zh-CN" w:bidi="hi-IN"/>
      </w:rPr>
    </w:rPrDefault>
    <w:pPrDefault>
      <w:pPr>
        <w:suppressAutoHyphens w:val="true"/>
      </w:pPr>
    </w:pPrDefault>
  </w:docDefaults>
  <w:style w:type="paragraph" w:styleId="Normal">
    <w:name w:val="Normal"/>
    <w:qFormat/>
    <w:pPr>
      <w:widowControl/>
      <w:suppressAutoHyphens w:val="true"/>
      <w:bidi w:val="0"/>
      <w:spacing w:before="0" w:after="0"/>
      <w:jc w:val="left"/>
    </w:pPr>
    <w:rPr>
      <w:rFonts w:ascii="Times New Roman" w:hAnsi="Times New Roman" w:eastAsia="Times New Roman" w:cs="Times New Roman"/>
      <w:color w:val="auto"/>
      <w:kern w:val="0"/>
      <w:sz w:val="20"/>
      <w:szCs w:val="20"/>
      <w:lang w:val="sk-SK" w:eastAsia="zh-CN" w:bidi="ar-SA"/>
    </w:rPr>
  </w:style>
  <w:style w:type="character" w:styleId="WW8Num1z0">
    <w:name w:val="WW8Num1z0"/>
    <w:qFormat/>
    <w:rPr>
      <w:b w:val="false"/>
      <w:sz w:val="24"/>
      <w:szCs w:val="24"/>
    </w:rPr>
  </w:style>
  <w:style w:type="character" w:styleId="WW8Num2z0">
    <w:name w:val="WW8Num2z0"/>
    <w:qFormat/>
    <w:rPr>
      <w:b/>
      <w:sz w:val="24"/>
      <w:szCs w:val="24"/>
    </w:rPr>
  </w:style>
  <w:style w:type="character" w:styleId="WW8Num3z0">
    <w:name w:val="WW8Num3z0"/>
    <w:qFormat/>
    <w:rPr>
      <w:b w:val="false"/>
      <w:sz w:val="24"/>
      <w:szCs w:val="24"/>
    </w:rPr>
  </w:style>
  <w:style w:type="character" w:styleId="WW8Num4z0">
    <w:name w:val="WW8Num4z0"/>
    <w:qFormat/>
    <w:rPr>
      <w:rFonts w:cs="Tahoma"/>
      <w:b/>
      <w:bCs/>
      <w:sz w:val="24"/>
      <w:szCs w:val="24"/>
      <w:lang w:bidi="zxx"/>
    </w:rPr>
  </w:style>
  <w:style w:type="character" w:styleId="WW8Num5z0">
    <w:name w:val="WW8Num5z0"/>
    <w:qFormat/>
    <w:rPr>
      <w:b w:val="false"/>
    </w:rPr>
  </w:style>
  <w:style w:type="character" w:styleId="WW8Num6z0">
    <w:name w:val="WW8Num6z0"/>
    <w:qFormat/>
    <w:rPr>
      <w:b w:val="false"/>
      <w:sz w:val="24"/>
      <w:szCs w:val="24"/>
    </w:rPr>
  </w:style>
  <w:style w:type="character" w:styleId="WW8Num7z0">
    <w:name w:val="WW8Num7z0"/>
    <w:qFormat/>
    <w:rPr>
      <w:b/>
    </w:rPr>
  </w:style>
  <w:style w:type="character" w:styleId="WW8Num8z0">
    <w:name w:val="WW8Num8z0"/>
    <w:qFormat/>
    <w:rPr>
      <w:b w:val="false"/>
    </w:rPr>
  </w:style>
  <w:style w:type="character" w:styleId="WW8Num9z0">
    <w:name w:val="WW8Num9z0"/>
    <w:qFormat/>
    <w:rPr>
      <w:b/>
      <w:sz w:val="24"/>
      <w:szCs w:val="24"/>
    </w:rPr>
  </w:style>
  <w:style w:type="character" w:styleId="WW8Num10z0">
    <w:name w:val="WW8Num10z0"/>
    <w:qFormat/>
    <w:rPr>
      <w:b w:val="false"/>
      <w:sz w:val="24"/>
      <w:szCs w:val="24"/>
    </w:rPr>
  </w:style>
  <w:style w:type="character" w:styleId="WW8Num11z0">
    <w:name w:val="WW8Num11z0"/>
    <w:qFormat/>
    <w:rPr>
      <w:b/>
    </w:rPr>
  </w:style>
  <w:style w:type="character" w:styleId="WW8Num12z0">
    <w:name w:val="WW8Num12z0"/>
    <w:qFormat/>
    <w:rPr>
      <w:b w:val="false"/>
    </w:rPr>
  </w:style>
  <w:style w:type="character" w:styleId="WW8Num13z0">
    <w:name w:val="WW8Num13z0"/>
    <w:qFormat/>
    <w:rPr>
      <w:b w:val="false"/>
      <w:sz w:val="24"/>
    </w:rPr>
  </w:style>
  <w:style w:type="character" w:styleId="WW8Num14z0">
    <w:name w:val="WW8Num14z0"/>
    <w:qFormat/>
    <w:rPr>
      <w:b w:val="false"/>
      <w:sz w:val="24"/>
      <w:szCs w:val="24"/>
    </w:rPr>
  </w:style>
  <w:style w:type="character" w:styleId="WW8Num15z0">
    <w:name w:val="WW8Num15z0"/>
    <w:qFormat/>
    <w:rPr>
      <w:rFonts w:ascii="Times New Roman" w:hAnsi="Times New Roman" w:cs="Times New Roman"/>
      <w:color w:val="FF0000"/>
      <w:sz w:val="24"/>
      <w:szCs w:val="24"/>
    </w:rPr>
  </w:style>
  <w:style w:type="character" w:styleId="WW8Num16z0">
    <w:name w:val="WW8Num16z0"/>
    <w:qFormat/>
    <w:rPr>
      <w:b/>
      <w:sz w:val="24"/>
      <w:szCs w:val="24"/>
    </w:rPr>
  </w:style>
  <w:style w:type="character" w:styleId="WW8Num17z0">
    <w:name w:val="WW8Num17z0"/>
    <w:qFormat/>
    <w:rPr>
      <w:sz w:val="24"/>
      <w:szCs w:val="24"/>
    </w:rPr>
  </w:style>
  <w:style w:type="character" w:styleId="WW8Num18z0">
    <w:name w:val="WW8Num18z0"/>
    <w:qFormat/>
    <w:rPr>
      <w:b w:val="false"/>
      <w:sz w:val="24"/>
      <w:szCs w:val="24"/>
    </w:rPr>
  </w:style>
  <w:style w:type="character" w:styleId="WW8Num19z0">
    <w:name w:val="WW8Num19z0"/>
    <w:qFormat/>
    <w:rPr>
      <w:b w:val="false"/>
      <w:sz w:val="24"/>
      <w:szCs w:val="24"/>
    </w:rPr>
  </w:style>
  <w:style w:type="character" w:styleId="WW8Num20z0">
    <w:name w:val="WW8Num20z0"/>
    <w:qFormat/>
    <w:rPr>
      <w:b w:val="false"/>
      <w:sz w:val="24"/>
      <w:szCs w:val="24"/>
    </w:rPr>
  </w:style>
  <w:style w:type="character" w:styleId="WW8Num21z0">
    <w:name w:val="WW8Num21z0"/>
    <w:qFormat/>
    <w:rPr>
      <w:b w:val="false"/>
      <w:sz w:val="24"/>
      <w:szCs w:val="24"/>
    </w:rPr>
  </w:style>
  <w:style w:type="character" w:styleId="WW8Num22z0">
    <w:name w:val="WW8Num22z0"/>
    <w:qFormat/>
    <w:rPr>
      <w:b/>
      <w:sz w:val="24"/>
      <w:szCs w:val="24"/>
    </w:rPr>
  </w:style>
  <w:style w:type="character" w:styleId="WW8Num23z0">
    <w:name w:val="WW8Num23z0"/>
    <w:qFormat/>
    <w:rPr>
      <w:b/>
      <w:sz w:val="24"/>
      <w:szCs w:val="24"/>
    </w:rPr>
  </w:style>
  <w:style w:type="character" w:styleId="WW8Num24z0">
    <w:name w:val="WW8Num24z0"/>
    <w:qFormat/>
    <w:rPr>
      <w:b/>
      <w:sz w:val="24"/>
      <w:szCs w:val="24"/>
    </w:rPr>
  </w:style>
  <w:style w:type="character" w:styleId="WW8Num25z0">
    <w:name w:val="WW8Num25z0"/>
    <w:qFormat/>
    <w:rPr>
      <w:rFonts w:ascii="Times New Roman" w:hAnsi="Times New Roman" w:cs="Times New Roman"/>
      <w:color w:val="FF0000"/>
      <w:sz w:val="22"/>
      <w:szCs w:val="22"/>
      <w:lang w:bidi="zxx"/>
    </w:rPr>
  </w:style>
  <w:style w:type="character" w:styleId="WW8Num26z0">
    <w:name w:val="WW8Num26z0"/>
    <w:qFormat/>
    <w:rPr>
      <w:b w:val="false"/>
      <w:sz w:val="24"/>
      <w:szCs w:val="24"/>
    </w:rPr>
  </w:style>
  <w:style w:type="character" w:styleId="WW8Num27z0">
    <w:name w:val="WW8Num27z0"/>
    <w:qFormat/>
    <w:rPr>
      <w:b w:val="false"/>
      <w:sz w:val="24"/>
      <w:szCs w:val="24"/>
    </w:rPr>
  </w:style>
  <w:style w:type="character" w:styleId="WW8Num28z0">
    <w:name w:val="WW8Num28z0"/>
    <w:qFormat/>
    <w:rPr/>
  </w:style>
  <w:style w:type="character" w:styleId="WW8Num28z1">
    <w:name w:val="WW8Num28z1"/>
    <w:qFormat/>
    <w:rPr/>
  </w:style>
  <w:style w:type="character" w:styleId="WW8Num28z2">
    <w:name w:val="WW8Num28z2"/>
    <w:qFormat/>
    <w:rPr/>
  </w:style>
  <w:style w:type="character" w:styleId="WW8Num28z3">
    <w:name w:val="WW8Num28z3"/>
    <w:qFormat/>
    <w:rPr/>
  </w:style>
  <w:style w:type="character" w:styleId="WW8Num28z4">
    <w:name w:val="WW8Num28z4"/>
    <w:qFormat/>
    <w:rPr/>
  </w:style>
  <w:style w:type="character" w:styleId="WW8Num28z5">
    <w:name w:val="WW8Num28z5"/>
    <w:qFormat/>
    <w:rPr/>
  </w:style>
  <w:style w:type="character" w:styleId="WW8Num28z6">
    <w:name w:val="WW8Num28z6"/>
    <w:qFormat/>
    <w:rPr/>
  </w:style>
  <w:style w:type="character" w:styleId="WW8Num28z7">
    <w:name w:val="WW8Num28z7"/>
    <w:qFormat/>
    <w:rPr/>
  </w:style>
  <w:style w:type="character" w:styleId="WW8Num28z8">
    <w:name w:val="WW8Num28z8"/>
    <w:qFormat/>
    <w:rPr/>
  </w:style>
  <w:style w:type="character" w:styleId="WW8Num29z0">
    <w:name w:val="WW8Num29z0"/>
    <w:qFormat/>
    <w:rPr>
      <w:rFonts w:ascii="Times New Roman" w:hAnsi="Times New Roman" w:cs="Times New Roman"/>
      <w:color w:val="FF0000"/>
      <w:sz w:val="22"/>
      <w:szCs w:val="22"/>
      <w:lang w:bidi="zxx"/>
    </w:rPr>
  </w:style>
  <w:style w:type="character" w:styleId="WW8Num30z0">
    <w:name w:val="WW8Num30z0"/>
    <w:qFormat/>
    <w:rPr>
      <w:b w:val="false"/>
      <w:sz w:val="24"/>
      <w:szCs w:val="24"/>
    </w:rPr>
  </w:style>
  <w:style w:type="character" w:styleId="WW8Num31z0">
    <w:name w:val="WW8Num31z0"/>
    <w:qFormat/>
    <w:rPr>
      <w:b w:val="false"/>
      <w:sz w:val="24"/>
      <w:szCs w:val="24"/>
    </w:rPr>
  </w:style>
  <w:style w:type="character" w:styleId="WW8Num32z0">
    <w:name w:val="WW8Num32z0"/>
    <w:qFormat/>
    <w:rPr/>
  </w:style>
  <w:style w:type="character" w:styleId="WW8Num32z1">
    <w:name w:val="WW8Num32z1"/>
    <w:qFormat/>
    <w:rPr/>
  </w:style>
  <w:style w:type="character" w:styleId="WW8Num32z2">
    <w:name w:val="WW8Num32z2"/>
    <w:qFormat/>
    <w:rPr/>
  </w:style>
  <w:style w:type="character" w:styleId="WW8Num32z3">
    <w:name w:val="WW8Num32z3"/>
    <w:qFormat/>
    <w:rPr/>
  </w:style>
  <w:style w:type="character" w:styleId="WW8Num32z4">
    <w:name w:val="WW8Num32z4"/>
    <w:qFormat/>
    <w:rPr/>
  </w:style>
  <w:style w:type="character" w:styleId="WW8Num32z5">
    <w:name w:val="WW8Num32z5"/>
    <w:qFormat/>
    <w:rPr/>
  </w:style>
  <w:style w:type="character" w:styleId="WW8Num32z6">
    <w:name w:val="WW8Num32z6"/>
    <w:qFormat/>
    <w:rPr/>
  </w:style>
  <w:style w:type="character" w:styleId="WW8Num32z7">
    <w:name w:val="WW8Num32z7"/>
    <w:qFormat/>
    <w:rPr/>
  </w:style>
  <w:style w:type="character" w:styleId="WW8Num32z8">
    <w:name w:val="WW8Num32z8"/>
    <w:qFormat/>
    <w:rPr/>
  </w:style>
  <w:style w:type="character" w:styleId="WW8Num1z1">
    <w:name w:val="WW8Num1z1"/>
    <w:qFormat/>
    <w:rPr/>
  </w:style>
  <w:style w:type="character" w:styleId="WW8Num1z2">
    <w:name w:val="WW8Num1z2"/>
    <w:qFormat/>
    <w:rPr/>
  </w:style>
  <w:style w:type="character" w:styleId="WW8Num1z3">
    <w:name w:val="WW8Num1z3"/>
    <w:qFormat/>
    <w:rPr/>
  </w:style>
  <w:style w:type="character" w:styleId="WW8Num1z4">
    <w:name w:val="WW8Num1z4"/>
    <w:qFormat/>
    <w:rPr/>
  </w:style>
  <w:style w:type="character" w:styleId="WW8Num1z5">
    <w:name w:val="WW8Num1z5"/>
    <w:qFormat/>
    <w:rPr/>
  </w:style>
  <w:style w:type="character" w:styleId="WW8Num1z6">
    <w:name w:val="WW8Num1z6"/>
    <w:qFormat/>
    <w:rPr/>
  </w:style>
  <w:style w:type="character" w:styleId="WW8Num1z7">
    <w:name w:val="WW8Num1z7"/>
    <w:qFormat/>
    <w:rPr/>
  </w:style>
  <w:style w:type="character" w:styleId="WW8Num1z8">
    <w:name w:val="WW8Num1z8"/>
    <w:qFormat/>
    <w:rPr/>
  </w:style>
  <w:style w:type="character" w:styleId="WW8Num2z1">
    <w:name w:val="WW8Num2z1"/>
    <w:qFormat/>
    <w:rPr/>
  </w:style>
  <w:style w:type="character" w:styleId="WW8Num2z2">
    <w:name w:val="WW8Num2z2"/>
    <w:qFormat/>
    <w:rPr/>
  </w:style>
  <w:style w:type="character" w:styleId="WW8Num2z3">
    <w:name w:val="WW8Num2z3"/>
    <w:qFormat/>
    <w:rPr/>
  </w:style>
  <w:style w:type="character" w:styleId="WW8Num2z4">
    <w:name w:val="WW8Num2z4"/>
    <w:qFormat/>
    <w:rPr/>
  </w:style>
  <w:style w:type="character" w:styleId="WW8Num2z5">
    <w:name w:val="WW8Num2z5"/>
    <w:qFormat/>
    <w:rPr/>
  </w:style>
  <w:style w:type="character" w:styleId="WW8Num2z6">
    <w:name w:val="WW8Num2z6"/>
    <w:qFormat/>
    <w:rPr/>
  </w:style>
  <w:style w:type="character" w:styleId="WW8Num2z7">
    <w:name w:val="WW8Num2z7"/>
    <w:qFormat/>
    <w:rPr/>
  </w:style>
  <w:style w:type="character" w:styleId="WW8Num2z8">
    <w:name w:val="WW8Num2z8"/>
    <w:qFormat/>
    <w:rPr/>
  </w:style>
  <w:style w:type="character" w:styleId="WW8Num3z1">
    <w:name w:val="WW8Num3z1"/>
    <w:qFormat/>
    <w:rPr/>
  </w:style>
  <w:style w:type="character" w:styleId="WW8Num3z2">
    <w:name w:val="WW8Num3z2"/>
    <w:qFormat/>
    <w:rPr/>
  </w:style>
  <w:style w:type="character" w:styleId="WW8Num3z3">
    <w:name w:val="WW8Num3z3"/>
    <w:qFormat/>
    <w:rPr/>
  </w:style>
  <w:style w:type="character" w:styleId="WW8Num3z4">
    <w:name w:val="WW8Num3z4"/>
    <w:qFormat/>
    <w:rPr/>
  </w:style>
  <w:style w:type="character" w:styleId="WW8Num3z5">
    <w:name w:val="WW8Num3z5"/>
    <w:qFormat/>
    <w:rPr/>
  </w:style>
  <w:style w:type="character" w:styleId="WW8Num3z6">
    <w:name w:val="WW8Num3z6"/>
    <w:qFormat/>
    <w:rPr/>
  </w:style>
  <w:style w:type="character" w:styleId="WW8Num3z7">
    <w:name w:val="WW8Num3z7"/>
    <w:qFormat/>
    <w:rPr/>
  </w:style>
  <w:style w:type="character" w:styleId="WW8Num3z8">
    <w:name w:val="WW8Num3z8"/>
    <w:qFormat/>
    <w:rPr/>
  </w:style>
  <w:style w:type="character" w:styleId="WW8Num4z1">
    <w:name w:val="WW8Num4z1"/>
    <w:qFormat/>
    <w:rPr/>
  </w:style>
  <w:style w:type="character" w:styleId="WW8Num4z2">
    <w:name w:val="WW8Num4z2"/>
    <w:qFormat/>
    <w:rPr/>
  </w:style>
  <w:style w:type="character" w:styleId="WW8Num4z3">
    <w:name w:val="WW8Num4z3"/>
    <w:qFormat/>
    <w:rPr/>
  </w:style>
  <w:style w:type="character" w:styleId="WW8Num4z4">
    <w:name w:val="WW8Num4z4"/>
    <w:qFormat/>
    <w:rPr/>
  </w:style>
  <w:style w:type="character" w:styleId="WW8Num4z5">
    <w:name w:val="WW8Num4z5"/>
    <w:qFormat/>
    <w:rPr/>
  </w:style>
  <w:style w:type="character" w:styleId="WW8Num4z6">
    <w:name w:val="WW8Num4z6"/>
    <w:qFormat/>
    <w:rPr/>
  </w:style>
  <w:style w:type="character" w:styleId="WW8Num4z7">
    <w:name w:val="WW8Num4z7"/>
    <w:qFormat/>
    <w:rPr/>
  </w:style>
  <w:style w:type="character" w:styleId="WW8Num4z8">
    <w:name w:val="WW8Num4z8"/>
    <w:qFormat/>
    <w:rPr/>
  </w:style>
  <w:style w:type="character" w:styleId="WW8Num5z1">
    <w:name w:val="WW8Num5z1"/>
    <w:qFormat/>
    <w:rPr/>
  </w:style>
  <w:style w:type="character" w:styleId="WW8Num5z2">
    <w:name w:val="WW8Num5z2"/>
    <w:qFormat/>
    <w:rPr/>
  </w:style>
  <w:style w:type="character" w:styleId="WW8Num5z3">
    <w:name w:val="WW8Num5z3"/>
    <w:qFormat/>
    <w:rPr/>
  </w:style>
  <w:style w:type="character" w:styleId="WW8Num5z4">
    <w:name w:val="WW8Num5z4"/>
    <w:qFormat/>
    <w:rPr/>
  </w:style>
  <w:style w:type="character" w:styleId="WW8Num5z5">
    <w:name w:val="WW8Num5z5"/>
    <w:qFormat/>
    <w:rPr/>
  </w:style>
  <w:style w:type="character" w:styleId="WW8Num5z6">
    <w:name w:val="WW8Num5z6"/>
    <w:qFormat/>
    <w:rPr/>
  </w:style>
  <w:style w:type="character" w:styleId="WW8Num5z7">
    <w:name w:val="WW8Num5z7"/>
    <w:qFormat/>
    <w:rPr/>
  </w:style>
  <w:style w:type="character" w:styleId="WW8Num5z8">
    <w:name w:val="WW8Num5z8"/>
    <w:qFormat/>
    <w:rPr/>
  </w:style>
  <w:style w:type="character" w:styleId="WW8Num6z1">
    <w:name w:val="WW8Num6z1"/>
    <w:qFormat/>
    <w:rPr/>
  </w:style>
  <w:style w:type="character" w:styleId="WW8Num6z2">
    <w:name w:val="WW8Num6z2"/>
    <w:qFormat/>
    <w:rPr/>
  </w:style>
  <w:style w:type="character" w:styleId="WW8Num6z3">
    <w:name w:val="WW8Num6z3"/>
    <w:qFormat/>
    <w:rPr/>
  </w:style>
  <w:style w:type="character" w:styleId="WW8Num6z4">
    <w:name w:val="WW8Num6z4"/>
    <w:qFormat/>
    <w:rPr/>
  </w:style>
  <w:style w:type="character" w:styleId="WW8Num6z5">
    <w:name w:val="WW8Num6z5"/>
    <w:qFormat/>
    <w:rPr/>
  </w:style>
  <w:style w:type="character" w:styleId="WW8Num6z6">
    <w:name w:val="WW8Num6z6"/>
    <w:qFormat/>
    <w:rPr/>
  </w:style>
  <w:style w:type="character" w:styleId="WW8Num6z7">
    <w:name w:val="WW8Num6z7"/>
    <w:qFormat/>
    <w:rPr/>
  </w:style>
  <w:style w:type="character" w:styleId="WW8Num6z8">
    <w:name w:val="WW8Num6z8"/>
    <w:qFormat/>
    <w:rPr/>
  </w:style>
  <w:style w:type="character" w:styleId="WW8Num7z1">
    <w:name w:val="WW8Num7z1"/>
    <w:qFormat/>
    <w:rPr/>
  </w:style>
  <w:style w:type="character" w:styleId="WW8Num7z2">
    <w:name w:val="WW8Num7z2"/>
    <w:qFormat/>
    <w:rPr/>
  </w:style>
  <w:style w:type="character" w:styleId="WW8Num7z3">
    <w:name w:val="WW8Num7z3"/>
    <w:qFormat/>
    <w:rPr/>
  </w:style>
  <w:style w:type="character" w:styleId="WW8Num7z4">
    <w:name w:val="WW8Num7z4"/>
    <w:qFormat/>
    <w:rPr/>
  </w:style>
  <w:style w:type="character" w:styleId="WW8Num7z5">
    <w:name w:val="WW8Num7z5"/>
    <w:qFormat/>
    <w:rPr/>
  </w:style>
  <w:style w:type="character" w:styleId="WW8Num7z6">
    <w:name w:val="WW8Num7z6"/>
    <w:qFormat/>
    <w:rPr/>
  </w:style>
  <w:style w:type="character" w:styleId="WW8Num7z7">
    <w:name w:val="WW8Num7z7"/>
    <w:qFormat/>
    <w:rPr/>
  </w:style>
  <w:style w:type="character" w:styleId="WW8Num7z8">
    <w:name w:val="WW8Num7z8"/>
    <w:qFormat/>
    <w:rPr/>
  </w:style>
  <w:style w:type="character" w:styleId="WW8Num8z1">
    <w:name w:val="WW8Num8z1"/>
    <w:qFormat/>
    <w:rPr/>
  </w:style>
  <w:style w:type="character" w:styleId="WW8Num8z2">
    <w:name w:val="WW8Num8z2"/>
    <w:qFormat/>
    <w:rPr/>
  </w:style>
  <w:style w:type="character" w:styleId="WW8Num8z3">
    <w:name w:val="WW8Num8z3"/>
    <w:qFormat/>
    <w:rPr/>
  </w:style>
  <w:style w:type="character" w:styleId="WW8Num8z4">
    <w:name w:val="WW8Num8z4"/>
    <w:qFormat/>
    <w:rPr/>
  </w:style>
  <w:style w:type="character" w:styleId="WW8Num8z5">
    <w:name w:val="WW8Num8z5"/>
    <w:qFormat/>
    <w:rPr/>
  </w:style>
  <w:style w:type="character" w:styleId="WW8Num8z6">
    <w:name w:val="WW8Num8z6"/>
    <w:qFormat/>
    <w:rPr/>
  </w:style>
  <w:style w:type="character" w:styleId="WW8Num8z7">
    <w:name w:val="WW8Num8z7"/>
    <w:qFormat/>
    <w:rPr/>
  </w:style>
  <w:style w:type="character" w:styleId="WW8Num8z8">
    <w:name w:val="WW8Num8z8"/>
    <w:qFormat/>
    <w:rPr/>
  </w:style>
  <w:style w:type="character" w:styleId="WW8Num9z1">
    <w:name w:val="WW8Num9z1"/>
    <w:qFormat/>
    <w:rPr/>
  </w:style>
  <w:style w:type="character" w:styleId="WW8Num9z2">
    <w:name w:val="WW8Num9z2"/>
    <w:qFormat/>
    <w:rPr/>
  </w:style>
  <w:style w:type="character" w:styleId="WW8Num9z3">
    <w:name w:val="WW8Num9z3"/>
    <w:qFormat/>
    <w:rPr/>
  </w:style>
  <w:style w:type="character" w:styleId="WW8Num9z4">
    <w:name w:val="WW8Num9z4"/>
    <w:qFormat/>
    <w:rPr/>
  </w:style>
  <w:style w:type="character" w:styleId="WW8Num9z5">
    <w:name w:val="WW8Num9z5"/>
    <w:qFormat/>
    <w:rPr/>
  </w:style>
  <w:style w:type="character" w:styleId="WW8Num9z6">
    <w:name w:val="WW8Num9z6"/>
    <w:qFormat/>
    <w:rPr/>
  </w:style>
  <w:style w:type="character" w:styleId="WW8Num9z7">
    <w:name w:val="WW8Num9z7"/>
    <w:qFormat/>
    <w:rPr/>
  </w:style>
  <w:style w:type="character" w:styleId="WW8Num9z8">
    <w:name w:val="WW8Num9z8"/>
    <w:qFormat/>
    <w:rPr/>
  </w:style>
  <w:style w:type="character" w:styleId="WW8Num10z1">
    <w:name w:val="WW8Num10z1"/>
    <w:qFormat/>
    <w:rPr/>
  </w:style>
  <w:style w:type="character" w:styleId="WW8Num10z2">
    <w:name w:val="WW8Num10z2"/>
    <w:qFormat/>
    <w:rPr/>
  </w:style>
  <w:style w:type="character" w:styleId="WW8Num10z3">
    <w:name w:val="WW8Num10z3"/>
    <w:qFormat/>
    <w:rPr/>
  </w:style>
  <w:style w:type="character" w:styleId="WW8Num10z4">
    <w:name w:val="WW8Num10z4"/>
    <w:qFormat/>
    <w:rPr/>
  </w:style>
  <w:style w:type="character" w:styleId="WW8Num10z5">
    <w:name w:val="WW8Num10z5"/>
    <w:qFormat/>
    <w:rPr/>
  </w:style>
  <w:style w:type="character" w:styleId="WW8Num10z6">
    <w:name w:val="WW8Num10z6"/>
    <w:qFormat/>
    <w:rPr/>
  </w:style>
  <w:style w:type="character" w:styleId="WW8Num10z7">
    <w:name w:val="WW8Num10z7"/>
    <w:qFormat/>
    <w:rPr/>
  </w:style>
  <w:style w:type="character" w:styleId="WW8Num10z8">
    <w:name w:val="WW8Num10z8"/>
    <w:qFormat/>
    <w:rPr/>
  </w:style>
  <w:style w:type="character" w:styleId="WW8Num11z1">
    <w:name w:val="WW8Num11z1"/>
    <w:qFormat/>
    <w:rPr/>
  </w:style>
  <w:style w:type="character" w:styleId="WW8Num11z2">
    <w:name w:val="WW8Num11z2"/>
    <w:qFormat/>
    <w:rPr/>
  </w:style>
  <w:style w:type="character" w:styleId="WW8Num11z3">
    <w:name w:val="WW8Num11z3"/>
    <w:qFormat/>
    <w:rPr/>
  </w:style>
  <w:style w:type="character" w:styleId="WW8Num11z4">
    <w:name w:val="WW8Num11z4"/>
    <w:qFormat/>
    <w:rPr/>
  </w:style>
  <w:style w:type="character" w:styleId="WW8Num11z5">
    <w:name w:val="WW8Num11z5"/>
    <w:qFormat/>
    <w:rPr/>
  </w:style>
  <w:style w:type="character" w:styleId="WW8Num11z6">
    <w:name w:val="WW8Num11z6"/>
    <w:qFormat/>
    <w:rPr/>
  </w:style>
  <w:style w:type="character" w:styleId="WW8Num11z7">
    <w:name w:val="WW8Num11z7"/>
    <w:qFormat/>
    <w:rPr/>
  </w:style>
  <w:style w:type="character" w:styleId="WW8Num11z8">
    <w:name w:val="WW8Num11z8"/>
    <w:qFormat/>
    <w:rPr/>
  </w:style>
  <w:style w:type="character" w:styleId="WW8Num12z1">
    <w:name w:val="WW8Num12z1"/>
    <w:qFormat/>
    <w:rPr/>
  </w:style>
  <w:style w:type="character" w:styleId="WW8Num12z2">
    <w:name w:val="WW8Num12z2"/>
    <w:qFormat/>
    <w:rPr/>
  </w:style>
  <w:style w:type="character" w:styleId="WW8Num12z3">
    <w:name w:val="WW8Num12z3"/>
    <w:qFormat/>
    <w:rPr/>
  </w:style>
  <w:style w:type="character" w:styleId="WW8Num12z4">
    <w:name w:val="WW8Num12z4"/>
    <w:qFormat/>
    <w:rPr/>
  </w:style>
  <w:style w:type="character" w:styleId="WW8Num12z5">
    <w:name w:val="WW8Num12z5"/>
    <w:qFormat/>
    <w:rPr/>
  </w:style>
  <w:style w:type="character" w:styleId="WW8Num12z6">
    <w:name w:val="WW8Num12z6"/>
    <w:qFormat/>
    <w:rPr/>
  </w:style>
  <w:style w:type="character" w:styleId="WW8Num12z7">
    <w:name w:val="WW8Num12z7"/>
    <w:qFormat/>
    <w:rPr/>
  </w:style>
  <w:style w:type="character" w:styleId="WW8Num12z8">
    <w:name w:val="WW8Num12z8"/>
    <w:qFormat/>
    <w:rPr/>
  </w:style>
  <w:style w:type="character" w:styleId="WW8Num13z1">
    <w:name w:val="WW8Num13z1"/>
    <w:qFormat/>
    <w:rPr/>
  </w:style>
  <w:style w:type="character" w:styleId="WW8Num13z2">
    <w:name w:val="WW8Num13z2"/>
    <w:qFormat/>
    <w:rPr/>
  </w:style>
  <w:style w:type="character" w:styleId="WW8Num13z3">
    <w:name w:val="WW8Num13z3"/>
    <w:qFormat/>
    <w:rPr/>
  </w:style>
  <w:style w:type="character" w:styleId="WW8Num13z4">
    <w:name w:val="WW8Num13z4"/>
    <w:qFormat/>
    <w:rPr/>
  </w:style>
  <w:style w:type="character" w:styleId="WW8Num13z5">
    <w:name w:val="WW8Num13z5"/>
    <w:qFormat/>
    <w:rPr/>
  </w:style>
  <w:style w:type="character" w:styleId="WW8Num13z6">
    <w:name w:val="WW8Num13z6"/>
    <w:qFormat/>
    <w:rPr/>
  </w:style>
  <w:style w:type="character" w:styleId="WW8Num13z7">
    <w:name w:val="WW8Num13z7"/>
    <w:qFormat/>
    <w:rPr/>
  </w:style>
  <w:style w:type="character" w:styleId="WW8Num13z8">
    <w:name w:val="WW8Num13z8"/>
    <w:qFormat/>
    <w:rPr/>
  </w:style>
  <w:style w:type="character" w:styleId="WW8Num14z1">
    <w:name w:val="WW8Num14z1"/>
    <w:qFormat/>
    <w:rPr/>
  </w:style>
  <w:style w:type="character" w:styleId="WW8Num14z2">
    <w:name w:val="WW8Num14z2"/>
    <w:qFormat/>
    <w:rPr/>
  </w:style>
  <w:style w:type="character" w:styleId="WW8Num14z3">
    <w:name w:val="WW8Num14z3"/>
    <w:qFormat/>
    <w:rPr/>
  </w:style>
  <w:style w:type="character" w:styleId="WW8Num14z4">
    <w:name w:val="WW8Num14z4"/>
    <w:qFormat/>
    <w:rPr/>
  </w:style>
  <w:style w:type="character" w:styleId="WW8Num14z5">
    <w:name w:val="WW8Num14z5"/>
    <w:qFormat/>
    <w:rPr/>
  </w:style>
  <w:style w:type="character" w:styleId="WW8Num14z6">
    <w:name w:val="WW8Num14z6"/>
    <w:qFormat/>
    <w:rPr/>
  </w:style>
  <w:style w:type="character" w:styleId="WW8Num14z7">
    <w:name w:val="WW8Num14z7"/>
    <w:qFormat/>
    <w:rPr/>
  </w:style>
  <w:style w:type="character" w:styleId="WW8Num14z8">
    <w:name w:val="WW8Num14z8"/>
    <w:qFormat/>
    <w:rPr/>
  </w:style>
  <w:style w:type="character" w:styleId="WW8Num15z1">
    <w:name w:val="WW8Num15z1"/>
    <w:qFormat/>
    <w:rPr/>
  </w:style>
  <w:style w:type="character" w:styleId="WW8Num15z2">
    <w:name w:val="WW8Num15z2"/>
    <w:qFormat/>
    <w:rPr/>
  </w:style>
  <w:style w:type="character" w:styleId="WW8Num15z3">
    <w:name w:val="WW8Num15z3"/>
    <w:qFormat/>
    <w:rPr/>
  </w:style>
  <w:style w:type="character" w:styleId="WW8Num15z4">
    <w:name w:val="WW8Num15z4"/>
    <w:qFormat/>
    <w:rPr/>
  </w:style>
  <w:style w:type="character" w:styleId="WW8Num15z5">
    <w:name w:val="WW8Num15z5"/>
    <w:qFormat/>
    <w:rPr/>
  </w:style>
  <w:style w:type="character" w:styleId="WW8Num15z6">
    <w:name w:val="WW8Num15z6"/>
    <w:qFormat/>
    <w:rPr/>
  </w:style>
  <w:style w:type="character" w:styleId="WW8Num15z7">
    <w:name w:val="WW8Num15z7"/>
    <w:qFormat/>
    <w:rPr/>
  </w:style>
  <w:style w:type="character" w:styleId="WW8Num15z8">
    <w:name w:val="WW8Num15z8"/>
    <w:qFormat/>
    <w:rPr/>
  </w:style>
  <w:style w:type="character" w:styleId="WW8Num16z1">
    <w:name w:val="WW8Num16z1"/>
    <w:qFormat/>
    <w:rPr/>
  </w:style>
  <w:style w:type="character" w:styleId="WW8Num16z2">
    <w:name w:val="WW8Num16z2"/>
    <w:qFormat/>
    <w:rPr/>
  </w:style>
  <w:style w:type="character" w:styleId="WW8Num16z3">
    <w:name w:val="WW8Num16z3"/>
    <w:qFormat/>
    <w:rPr/>
  </w:style>
  <w:style w:type="character" w:styleId="WW8Num16z4">
    <w:name w:val="WW8Num16z4"/>
    <w:qFormat/>
    <w:rPr/>
  </w:style>
  <w:style w:type="character" w:styleId="WW8Num16z5">
    <w:name w:val="WW8Num16z5"/>
    <w:qFormat/>
    <w:rPr/>
  </w:style>
  <w:style w:type="character" w:styleId="WW8Num16z6">
    <w:name w:val="WW8Num16z6"/>
    <w:qFormat/>
    <w:rPr/>
  </w:style>
  <w:style w:type="character" w:styleId="WW8Num16z7">
    <w:name w:val="WW8Num16z7"/>
    <w:qFormat/>
    <w:rPr/>
  </w:style>
  <w:style w:type="character" w:styleId="WW8Num16z8">
    <w:name w:val="WW8Num16z8"/>
    <w:qFormat/>
    <w:rPr/>
  </w:style>
  <w:style w:type="character" w:styleId="WW8Num17z1">
    <w:name w:val="WW8Num17z1"/>
    <w:qFormat/>
    <w:rPr/>
  </w:style>
  <w:style w:type="character" w:styleId="WW8Num17z2">
    <w:name w:val="WW8Num17z2"/>
    <w:qFormat/>
    <w:rPr/>
  </w:style>
  <w:style w:type="character" w:styleId="WW8Num17z3">
    <w:name w:val="WW8Num17z3"/>
    <w:qFormat/>
    <w:rPr/>
  </w:style>
  <w:style w:type="character" w:styleId="WW8Num17z4">
    <w:name w:val="WW8Num17z4"/>
    <w:qFormat/>
    <w:rPr/>
  </w:style>
  <w:style w:type="character" w:styleId="WW8Num17z5">
    <w:name w:val="WW8Num17z5"/>
    <w:qFormat/>
    <w:rPr/>
  </w:style>
  <w:style w:type="character" w:styleId="WW8Num17z6">
    <w:name w:val="WW8Num17z6"/>
    <w:qFormat/>
    <w:rPr/>
  </w:style>
  <w:style w:type="character" w:styleId="WW8Num17z7">
    <w:name w:val="WW8Num17z7"/>
    <w:qFormat/>
    <w:rPr/>
  </w:style>
  <w:style w:type="character" w:styleId="WW8Num17z8">
    <w:name w:val="WW8Num17z8"/>
    <w:qFormat/>
    <w:rPr/>
  </w:style>
  <w:style w:type="character" w:styleId="WW8Num18z1">
    <w:name w:val="WW8Num18z1"/>
    <w:qFormat/>
    <w:rPr/>
  </w:style>
  <w:style w:type="character" w:styleId="WW8Num18z2">
    <w:name w:val="WW8Num18z2"/>
    <w:qFormat/>
    <w:rPr/>
  </w:style>
  <w:style w:type="character" w:styleId="WW8Num18z3">
    <w:name w:val="WW8Num18z3"/>
    <w:qFormat/>
    <w:rPr/>
  </w:style>
  <w:style w:type="character" w:styleId="WW8Num18z4">
    <w:name w:val="WW8Num18z4"/>
    <w:qFormat/>
    <w:rPr/>
  </w:style>
  <w:style w:type="character" w:styleId="WW8Num18z5">
    <w:name w:val="WW8Num18z5"/>
    <w:qFormat/>
    <w:rPr/>
  </w:style>
  <w:style w:type="character" w:styleId="WW8Num18z6">
    <w:name w:val="WW8Num18z6"/>
    <w:qFormat/>
    <w:rPr/>
  </w:style>
  <w:style w:type="character" w:styleId="WW8Num18z7">
    <w:name w:val="WW8Num18z7"/>
    <w:qFormat/>
    <w:rPr/>
  </w:style>
  <w:style w:type="character" w:styleId="WW8Num18z8">
    <w:name w:val="WW8Num18z8"/>
    <w:qFormat/>
    <w:rPr/>
  </w:style>
  <w:style w:type="character" w:styleId="WW8Num19z1">
    <w:name w:val="WW8Num19z1"/>
    <w:qFormat/>
    <w:rPr/>
  </w:style>
  <w:style w:type="character" w:styleId="WW8Num19z2">
    <w:name w:val="WW8Num19z2"/>
    <w:qFormat/>
    <w:rPr/>
  </w:style>
  <w:style w:type="character" w:styleId="WW8Num19z3">
    <w:name w:val="WW8Num19z3"/>
    <w:qFormat/>
    <w:rPr/>
  </w:style>
  <w:style w:type="character" w:styleId="WW8Num19z4">
    <w:name w:val="WW8Num19z4"/>
    <w:qFormat/>
    <w:rPr/>
  </w:style>
  <w:style w:type="character" w:styleId="WW8Num19z5">
    <w:name w:val="WW8Num19z5"/>
    <w:qFormat/>
    <w:rPr/>
  </w:style>
  <w:style w:type="character" w:styleId="WW8Num19z6">
    <w:name w:val="WW8Num19z6"/>
    <w:qFormat/>
    <w:rPr/>
  </w:style>
  <w:style w:type="character" w:styleId="WW8Num19z7">
    <w:name w:val="WW8Num19z7"/>
    <w:qFormat/>
    <w:rPr/>
  </w:style>
  <w:style w:type="character" w:styleId="WW8Num19z8">
    <w:name w:val="WW8Num19z8"/>
    <w:qFormat/>
    <w:rPr/>
  </w:style>
  <w:style w:type="character" w:styleId="WW8Num20z1">
    <w:name w:val="WW8Num20z1"/>
    <w:qFormat/>
    <w:rPr>
      <w:rFonts w:ascii="Courier New" w:hAnsi="Courier New" w:cs="Courier New"/>
    </w:rPr>
  </w:style>
  <w:style w:type="character" w:styleId="WW8Num20z2">
    <w:name w:val="WW8Num20z2"/>
    <w:qFormat/>
    <w:rPr>
      <w:rFonts w:ascii="Wingdings" w:hAnsi="Wingdings" w:cs="Wingdings"/>
    </w:rPr>
  </w:style>
  <w:style w:type="character" w:styleId="WW8Num20z3">
    <w:name w:val="WW8Num20z3"/>
    <w:qFormat/>
    <w:rPr>
      <w:rFonts w:ascii="Symbol" w:hAnsi="Symbol" w:cs="Symbol"/>
    </w:rPr>
  </w:style>
  <w:style w:type="character" w:styleId="WW8Num21z1">
    <w:name w:val="WW8Num21z1"/>
    <w:qFormat/>
    <w:rPr>
      <w:rFonts w:ascii="Courier New" w:hAnsi="Courier New" w:cs="Courier New"/>
    </w:rPr>
  </w:style>
  <w:style w:type="character" w:styleId="WW8Num21z2">
    <w:name w:val="WW8Num21z2"/>
    <w:qFormat/>
    <w:rPr>
      <w:rFonts w:ascii="Wingdings" w:hAnsi="Wingdings" w:cs="Wingdings"/>
    </w:rPr>
  </w:style>
  <w:style w:type="character" w:styleId="WW8Num21z3">
    <w:name w:val="WW8Num21z3"/>
    <w:qFormat/>
    <w:rPr>
      <w:rFonts w:ascii="Symbol" w:hAnsi="Symbol" w:cs="Symbol"/>
    </w:rPr>
  </w:style>
  <w:style w:type="character" w:styleId="WW8Num22z1">
    <w:name w:val="WW8Num22z1"/>
    <w:qFormat/>
    <w:rPr/>
  </w:style>
  <w:style w:type="character" w:styleId="WW8Num22z2">
    <w:name w:val="WW8Num22z2"/>
    <w:qFormat/>
    <w:rPr/>
  </w:style>
  <w:style w:type="character" w:styleId="WW8Num22z3">
    <w:name w:val="WW8Num22z3"/>
    <w:qFormat/>
    <w:rPr/>
  </w:style>
  <w:style w:type="character" w:styleId="WW8Num22z4">
    <w:name w:val="WW8Num22z4"/>
    <w:qFormat/>
    <w:rPr/>
  </w:style>
  <w:style w:type="character" w:styleId="WW8Num22z5">
    <w:name w:val="WW8Num22z5"/>
    <w:qFormat/>
    <w:rPr/>
  </w:style>
  <w:style w:type="character" w:styleId="WW8Num22z6">
    <w:name w:val="WW8Num22z6"/>
    <w:qFormat/>
    <w:rPr/>
  </w:style>
  <w:style w:type="character" w:styleId="WW8Num22z7">
    <w:name w:val="WW8Num22z7"/>
    <w:qFormat/>
    <w:rPr/>
  </w:style>
  <w:style w:type="character" w:styleId="WW8Num22z8">
    <w:name w:val="WW8Num22z8"/>
    <w:qFormat/>
    <w:rPr/>
  </w:style>
  <w:style w:type="character" w:styleId="WW8Num23z1">
    <w:name w:val="WW8Num23z1"/>
    <w:qFormat/>
    <w:rPr/>
  </w:style>
  <w:style w:type="character" w:styleId="WW8Num23z2">
    <w:name w:val="WW8Num23z2"/>
    <w:qFormat/>
    <w:rPr/>
  </w:style>
  <w:style w:type="character" w:styleId="WW8Num23z3">
    <w:name w:val="WW8Num23z3"/>
    <w:qFormat/>
    <w:rPr/>
  </w:style>
  <w:style w:type="character" w:styleId="WW8Num23z4">
    <w:name w:val="WW8Num23z4"/>
    <w:qFormat/>
    <w:rPr/>
  </w:style>
  <w:style w:type="character" w:styleId="WW8Num23z5">
    <w:name w:val="WW8Num23z5"/>
    <w:qFormat/>
    <w:rPr/>
  </w:style>
  <w:style w:type="character" w:styleId="WW8Num23z6">
    <w:name w:val="WW8Num23z6"/>
    <w:qFormat/>
    <w:rPr/>
  </w:style>
  <w:style w:type="character" w:styleId="WW8Num23z7">
    <w:name w:val="WW8Num23z7"/>
    <w:qFormat/>
    <w:rPr/>
  </w:style>
  <w:style w:type="character" w:styleId="WW8Num23z8">
    <w:name w:val="WW8Num23z8"/>
    <w:qFormat/>
    <w:rPr/>
  </w:style>
  <w:style w:type="character" w:styleId="WW8Num24z1">
    <w:name w:val="WW8Num24z1"/>
    <w:qFormat/>
    <w:rPr>
      <w:rFonts w:ascii="Courier New" w:hAnsi="Courier New" w:cs="Courier New"/>
    </w:rPr>
  </w:style>
  <w:style w:type="character" w:styleId="WW8Num24z2">
    <w:name w:val="WW8Num24z2"/>
    <w:qFormat/>
    <w:rPr>
      <w:rFonts w:ascii="Wingdings" w:hAnsi="Wingdings" w:cs="Wingdings"/>
    </w:rPr>
  </w:style>
  <w:style w:type="character" w:styleId="WW8Num24z3">
    <w:name w:val="WW8Num24z3"/>
    <w:qFormat/>
    <w:rPr>
      <w:rFonts w:ascii="Symbol" w:hAnsi="Symbol" w:cs="Symbol"/>
    </w:rPr>
  </w:style>
  <w:style w:type="character" w:styleId="WW8Num25z1">
    <w:name w:val="WW8Num25z1"/>
    <w:qFormat/>
    <w:rPr/>
  </w:style>
  <w:style w:type="character" w:styleId="WW8Num25z2">
    <w:name w:val="WW8Num25z2"/>
    <w:qFormat/>
    <w:rPr/>
  </w:style>
  <w:style w:type="character" w:styleId="WW8Num25z3">
    <w:name w:val="WW8Num25z3"/>
    <w:qFormat/>
    <w:rPr/>
  </w:style>
  <w:style w:type="character" w:styleId="WW8Num25z4">
    <w:name w:val="WW8Num25z4"/>
    <w:qFormat/>
    <w:rPr/>
  </w:style>
  <w:style w:type="character" w:styleId="WW8Num25z5">
    <w:name w:val="WW8Num25z5"/>
    <w:qFormat/>
    <w:rPr/>
  </w:style>
  <w:style w:type="character" w:styleId="WW8Num25z6">
    <w:name w:val="WW8Num25z6"/>
    <w:qFormat/>
    <w:rPr/>
  </w:style>
  <w:style w:type="character" w:styleId="WW8Num25z7">
    <w:name w:val="WW8Num25z7"/>
    <w:qFormat/>
    <w:rPr/>
  </w:style>
  <w:style w:type="character" w:styleId="WW8Num25z8">
    <w:name w:val="WW8Num25z8"/>
    <w:qFormat/>
    <w:rPr/>
  </w:style>
  <w:style w:type="character" w:styleId="WW8Num26z1">
    <w:name w:val="WW8Num26z1"/>
    <w:qFormat/>
    <w:rPr/>
  </w:style>
  <w:style w:type="character" w:styleId="WW8Num26z2">
    <w:name w:val="WW8Num26z2"/>
    <w:qFormat/>
    <w:rPr/>
  </w:style>
  <w:style w:type="character" w:styleId="WW8Num26z3">
    <w:name w:val="WW8Num26z3"/>
    <w:qFormat/>
    <w:rPr/>
  </w:style>
  <w:style w:type="character" w:styleId="WW8Num26z4">
    <w:name w:val="WW8Num26z4"/>
    <w:qFormat/>
    <w:rPr/>
  </w:style>
  <w:style w:type="character" w:styleId="WW8Num26z5">
    <w:name w:val="WW8Num26z5"/>
    <w:qFormat/>
    <w:rPr/>
  </w:style>
  <w:style w:type="character" w:styleId="WW8Num26z6">
    <w:name w:val="WW8Num26z6"/>
    <w:qFormat/>
    <w:rPr/>
  </w:style>
  <w:style w:type="character" w:styleId="WW8Num26z7">
    <w:name w:val="WW8Num26z7"/>
    <w:qFormat/>
    <w:rPr/>
  </w:style>
  <w:style w:type="character" w:styleId="WW8Num26z8">
    <w:name w:val="WW8Num26z8"/>
    <w:qFormat/>
    <w:rPr/>
  </w:style>
  <w:style w:type="character" w:styleId="WW8Num27z1">
    <w:name w:val="WW8Num27z1"/>
    <w:qFormat/>
    <w:rPr/>
  </w:style>
  <w:style w:type="character" w:styleId="WW8Num27z2">
    <w:name w:val="WW8Num27z2"/>
    <w:qFormat/>
    <w:rPr/>
  </w:style>
  <w:style w:type="character" w:styleId="WW8Num27z3">
    <w:name w:val="WW8Num27z3"/>
    <w:qFormat/>
    <w:rPr/>
  </w:style>
  <w:style w:type="character" w:styleId="WW8Num27z4">
    <w:name w:val="WW8Num27z4"/>
    <w:qFormat/>
    <w:rPr/>
  </w:style>
  <w:style w:type="character" w:styleId="WW8Num27z5">
    <w:name w:val="WW8Num27z5"/>
    <w:qFormat/>
    <w:rPr/>
  </w:style>
  <w:style w:type="character" w:styleId="WW8Num27z6">
    <w:name w:val="WW8Num27z6"/>
    <w:qFormat/>
    <w:rPr/>
  </w:style>
  <w:style w:type="character" w:styleId="WW8Num27z7">
    <w:name w:val="WW8Num27z7"/>
    <w:qFormat/>
    <w:rPr/>
  </w:style>
  <w:style w:type="character" w:styleId="WW8Num27z8">
    <w:name w:val="WW8Num27z8"/>
    <w:qFormat/>
    <w:rPr/>
  </w:style>
  <w:style w:type="character" w:styleId="WW8Num29z1">
    <w:name w:val="WW8Num29z1"/>
    <w:qFormat/>
    <w:rPr/>
  </w:style>
  <w:style w:type="character" w:styleId="WW8Num29z2">
    <w:name w:val="WW8Num29z2"/>
    <w:qFormat/>
    <w:rPr/>
  </w:style>
  <w:style w:type="character" w:styleId="WW8Num29z3">
    <w:name w:val="WW8Num29z3"/>
    <w:qFormat/>
    <w:rPr/>
  </w:style>
  <w:style w:type="character" w:styleId="WW8Num29z4">
    <w:name w:val="WW8Num29z4"/>
    <w:qFormat/>
    <w:rPr/>
  </w:style>
  <w:style w:type="character" w:styleId="WW8Num29z5">
    <w:name w:val="WW8Num29z5"/>
    <w:qFormat/>
    <w:rPr/>
  </w:style>
  <w:style w:type="character" w:styleId="WW8Num29z6">
    <w:name w:val="WW8Num29z6"/>
    <w:qFormat/>
    <w:rPr/>
  </w:style>
  <w:style w:type="character" w:styleId="WW8Num29z7">
    <w:name w:val="WW8Num29z7"/>
    <w:qFormat/>
    <w:rPr/>
  </w:style>
  <w:style w:type="character" w:styleId="WW8Num29z8">
    <w:name w:val="WW8Num29z8"/>
    <w:qFormat/>
    <w:rPr/>
  </w:style>
  <w:style w:type="character" w:styleId="WW8Num30z1">
    <w:name w:val="WW8Num30z1"/>
    <w:qFormat/>
    <w:rPr/>
  </w:style>
  <w:style w:type="character" w:styleId="WW8Num30z2">
    <w:name w:val="WW8Num30z2"/>
    <w:qFormat/>
    <w:rPr/>
  </w:style>
  <w:style w:type="character" w:styleId="WW8Num30z3">
    <w:name w:val="WW8Num30z3"/>
    <w:qFormat/>
    <w:rPr/>
  </w:style>
  <w:style w:type="character" w:styleId="WW8Num30z4">
    <w:name w:val="WW8Num30z4"/>
    <w:qFormat/>
    <w:rPr/>
  </w:style>
  <w:style w:type="character" w:styleId="WW8Num30z5">
    <w:name w:val="WW8Num30z5"/>
    <w:qFormat/>
    <w:rPr/>
  </w:style>
  <w:style w:type="character" w:styleId="WW8Num30z6">
    <w:name w:val="WW8Num30z6"/>
    <w:qFormat/>
    <w:rPr/>
  </w:style>
  <w:style w:type="character" w:styleId="WW8Num30z7">
    <w:name w:val="WW8Num30z7"/>
    <w:qFormat/>
    <w:rPr/>
  </w:style>
  <w:style w:type="character" w:styleId="WW8Num30z8">
    <w:name w:val="WW8Num30z8"/>
    <w:qFormat/>
    <w:rPr/>
  </w:style>
  <w:style w:type="character" w:styleId="WW8Num31z1">
    <w:name w:val="WW8Num31z1"/>
    <w:qFormat/>
    <w:rPr/>
  </w:style>
  <w:style w:type="character" w:styleId="WW8Num31z2">
    <w:name w:val="WW8Num31z2"/>
    <w:qFormat/>
    <w:rPr/>
  </w:style>
  <w:style w:type="character" w:styleId="WW8Num31z3">
    <w:name w:val="WW8Num31z3"/>
    <w:qFormat/>
    <w:rPr/>
  </w:style>
  <w:style w:type="character" w:styleId="WW8Num31z4">
    <w:name w:val="WW8Num31z4"/>
    <w:qFormat/>
    <w:rPr/>
  </w:style>
  <w:style w:type="character" w:styleId="WW8Num31z5">
    <w:name w:val="WW8Num31z5"/>
    <w:qFormat/>
    <w:rPr/>
  </w:style>
  <w:style w:type="character" w:styleId="WW8Num31z6">
    <w:name w:val="WW8Num31z6"/>
    <w:qFormat/>
    <w:rPr/>
  </w:style>
  <w:style w:type="character" w:styleId="WW8Num31z7">
    <w:name w:val="WW8Num31z7"/>
    <w:qFormat/>
    <w:rPr/>
  </w:style>
  <w:style w:type="character" w:styleId="WW8Num31z8">
    <w:name w:val="WW8Num31z8"/>
    <w:qFormat/>
    <w:rPr/>
  </w:style>
  <w:style w:type="character" w:styleId="WW8Num33z0">
    <w:name w:val="WW8Num33z0"/>
    <w:qFormat/>
    <w:rPr>
      <w:rFonts w:ascii="Times New Roman" w:hAnsi="Times New Roman" w:eastAsia="Times New Roman" w:cs="Times New Roman"/>
      <w:color w:val="FF0000"/>
      <w:sz w:val="22"/>
      <w:szCs w:val="22"/>
      <w:lang w:bidi="zxx"/>
    </w:rPr>
  </w:style>
  <w:style w:type="character" w:styleId="WW8Num33z1">
    <w:name w:val="WW8Num33z1"/>
    <w:qFormat/>
    <w:rPr>
      <w:rFonts w:ascii="Courier New" w:hAnsi="Courier New" w:cs="Courier New"/>
    </w:rPr>
  </w:style>
  <w:style w:type="character" w:styleId="WW8Num33z2">
    <w:name w:val="WW8Num33z2"/>
    <w:qFormat/>
    <w:rPr>
      <w:rFonts w:ascii="Wingdings" w:hAnsi="Wingdings" w:cs="Wingdings"/>
    </w:rPr>
  </w:style>
  <w:style w:type="character" w:styleId="WW8Num33z3">
    <w:name w:val="WW8Num33z3"/>
    <w:qFormat/>
    <w:rPr>
      <w:rFonts w:ascii="Symbol" w:hAnsi="Symbol" w:cs="Symbol"/>
    </w:rPr>
  </w:style>
  <w:style w:type="character" w:styleId="WW8Num34z0">
    <w:name w:val="WW8Num34z0"/>
    <w:qFormat/>
    <w:rPr>
      <w:b w:val="false"/>
      <w:color w:val="000000"/>
    </w:rPr>
  </w:style>
  <w:style w:type="character" w:styleId="WW8Num34z1">
    <w:name w:val="WW8Num34z1"/>
    <w:qFormat/>
    <w:rPr/>
  </w:style>
  <w:style w:type="character" w:styleId="WW8Num34z2">
    <w:name w:val="WW8Num34z2"/>
    <w:qFormat/>
    <w:rPr/>
  </w:style>
  <w:style w:type="character" w:styleId="WW8Num34z3">
    <w:name w:val="WW8Num34z3"/>
    <w:qFormat/>
    <w:rPr/>
  </w:style>
  <w:style w:type="character" w:styleId="WW8Num34z4">
    <w:name w:val="WW8Num34z4"/>
    <w:qFormat/>
    <w:rPr/>
  </w:style>
  <w:style w:type="character" w:styleId="WW8Num34z5">
    <w:name w:val="WW8Num34z5"/>
    <w:qFormat/>
    <w:rPr/>
  </w:style>
  <w:style w:type="character" w:styleId="WW8Num34z6">
    <w:name w:val="WW8Num34z6"/>
    <w:qFormat/>
    <w:rPr/>
  </w:style>
  <w:style w:type="character" w:styleId="WW8Num34z7">
    <w:name w:val="WW8Num34z7"/>
    <w:qFormat/>
    <w:rPr/>
  </w:style>
  <w:style w:type="character" w:styleId="WW8Num34z8">
    <w:name w:val="WW8Num34z8"/>
    <w:qFormat/>
    <w:rPr/>
  </w:style>
  <w:style w:type="character" w:styleId="WW8Num35z0">
    <w:name w:val="WW8Num35z0"/>
    <w:qFormat/>
    <w:rPr>
      <w:b w:val="false"/>
      <w:sz w:val="24"/>
      <w:szCs w:val="24"/>
    </w:rPr>
  </w:style>
  <w:style w:type="character" w:styleId="WW8Num35z1">
    <w:name w:val="WW8Num35z1"/>
    <w:qFormat/>
    <w:rPr/>
  </w:style>
  <w:style w:type="character" w:styleId="WW8Num35z2">
    <w:name w:val="WW8Num35z2"/>
    <w:qFormat/>
    <w:rPr/>
  </w:style>
  <w:style w:type="character" w:styleId="WW8Num35z3">
    <w:name w:val="WW8Num35z3"/>
    <w:qFormat/>
    <w:rPr/>
  </w:style>
  <w:style w:type="character" w:styleId="WW8Num35z4">
    <w:name w:val="WW8Num35z4"/>
    <w:qFormat/>
    <w:rPr/>
  </w:style>
  <w:style w:type="character" w:styleId="WW8Num35z5">
    <w:name w:val="WW8Num35z5"/>
    <w:qFormat/>
    <w:rPr/>
  </w:style>
  <w:style w:type="character" w:styleId="WW8Num35z6">
    <w:name w:val="WW8Num35z6"/>
    <w:qFormat/>
    <w:rPr/>
  </w:style>
  <w:style w:type="character" w:styleId="WW8Num35z7">
    <w:name w:val="WW8Num35z7"/>
    <w:qFormat/>
    <w:rPr/>
  </w:style>
  <w:style w:type="character" w:styleId="WW8Num35z8">
    <w:name w:val="WW8Num35z8"/>
    <w:qFormat/>
    <w:rPr/>
  </w:style>
  <w:style w:type="character" w:styleId="WW8Num36z0">
    <w:name w:val="WW8Num36z0"/>
    <w:qFormat/>
    <w:rPr>
      <w:b w:val="false"/>
      <w:sz w:val="24"/>
      <w:szCs w:val="24"/>
    </w:rPr>
  </w:style>
  <w:style w:type="character" w:styleId="WW8Num36z1">
    <w:name w:val="WW8Num36z1"/>
    <w:qFormat/>
    <w:rPr/>
  </w:style>
  <w:style w:type="character" w:styleId="WW8Num36z2">
    <w:name w:val="WW8Num36z2"/>
    <w:qFormat/>
    <w:rPr/>
  </w:style>
  <w:style w:type="character" w:styleId="WW8Num36z3">
    <w:name w:val="WW8Num36z3"/>
    <w:qFormat/>
    <w:rPr/>
  </w:style>
  <w:style w:type="character" w:styleId="WW8Num36z4">
    <w:name w:val="WW8Num36z4"/>
    <w:qFormat/>
    <w:rPr/>
  </w:style>
  <w:style w:type="character" w:styleId="WW8Num36z5">
    <w:name w:val="WW8Num36z5"/>
    <w:qFormat/>
    <w:rPr/>
  </w:style>
  <w:style w:type="character" w:styleId="WW8Num36z6">
    <w:name w:val="WW8Num36z6"/>
    <w:qFormat/>
    <w:rPr/>
  </w:style>
  <w:style w:type="character" w:styleId="WW8Num36z7">
    <w:name w:val="WW8Num36z7"/>
    <w:qFormat/>
    <w:rPr/>
  </w:style>
  <w:style w:type="character" w:styleId="WW8Num36z8">
    <w:name w:val="WW8Num36z8"/>
    <w:qFormat/>
    <w:rPr/>
  </w:style>
  <w:style w:type="character" w:styleId="Predvolenpsmoodseku">
    <w:name w:val="Predvolené písmo odseku"/>
    <w:qFormat/>
    <w:rPr/>
  </w:style>
  <w:style w:type="character" w:styleId="Slostrany">
    <w:name w:val="Page Number"/>
    <w:basedOn w:val="Predvolenpsmoodseku"/>
    <w:rPr/>
  </w:style>
  <w:style w:type="character" w:styleId="ZkladntextChar">
    <w:name w:val="Základný text Char"/>
    <w:qFormat/>
    <w:rPr>
      <w:sz w:val="18"/>
    </w:rPr>
  </w:style>
  <w:style w:type="character" w:styleId="HlavikaChar">
    <w:name w:val="Hlavička Char"/>
    <w:basedOn w:val="Predvolenpsmoodseku"/>
    <w:qFormat/>
    <w:rPr/>
  </w:style>
  <w:style w:type="paragraph" w:styleId="Nadpis">
    <w:name w:val="Nadpis"/>
    <w:basedOn w:val="Normal"/>
    <w:next w:val="Telotextu"/>
    <w:qFormat/>
    <w:pPr>
      <w:keepNext w:val="true"/>
      <w:spacing w:before="240" w:after="120"/>
    </w:pPr>
    <w:rPr>
      <w:rFonts w:ascii="Liberation Sans;Arial" w:hAnsi="Liberation Sans;Arial" w:eastAsia="Microsoft YaHei" w:cs="Arial"/>
      <w:sz w:val="28"/>
      <w:szCs w:val="28"/>
    </w:rPr>
  </w:style>
  <w:style w:type="paragraph" w:styleId="Telotextu">
    <w:name w:val="Body Text"/>
    <w:basedOn w:val="Normal"/>
    <w:pPr>
      <w:ind w:left="426" w:right="0" w:hanging="0"/>
      <w:jc w:val="both"/>
    </w:pPr>
    <w:rPr>
      <w:sz w:val="18"/>
    </w:rPr>
  </w:style>
  <w:style w:type="paragraph" w:styleId="Zoznam">
    <w:name w:val="List"/>
    <w:basedOn w:val="Telotextu"/>
    <w:pPr/>
    <w:rPr>
      <w:rFonts w:cs="Arial"/>
    </w:rPr>
  </w:style>
  <w:style w:type="paragraph" w:styleId="Popis">
    <w:name w:val="Caption"/>
    <w:basedOn w:val="Normal"/>
    <w:qFormat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Index">
    <w:name w:val="Index"/>
    <w:basedOn w:val="Normal"/>
    <w:qFormat/>
    <w:pPr>
      <w:suppressLineNumbers/>
    </w:pPr>
    <w:rPr>
      <w:rFonts w:cs="Arial"/>
    </w:rPr>
  </w:style>
  <w:style w:type="paragraph" w:styleId="Hlavikaapta">
    <w:name w:val="Hlavička a päta"/>
    <w:basedOn w:val="Normal"/>
    <w:qFormat/>
    <w:pPr>
      <w:suppressLineNumbers/>
      <w:tabs>
        <w:tab w:val="clear" w:pos="708"/>
        <w:tab w:val="center" w:pos="4819" w:leader="none"/>
        <w:tab w:val="right" w:pos="9638" w:leader="none"/>
      </w:tabs>
    </w:pPr>
    <w:rPr/>
  </w:style>
  <w:style w:type="paragraph" w:styleId="Pta">
    <w:name w:val="Foot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extbubliny">
    <w:name w:val="Text bubliny"/>
    <w:basedOn w:val="Normal"/>
    <w:qFormat/>
    <w:pPr/>
    <w:rPr>
      <w:rFonts w:ascii="Tahoma" w:hAnsi="Tahoma" w:cs="Tahoma"/>
      <w:sz w:val="16"/>
      <w:szCs w:val="16"/>
    </w:rPr>
  </w:style>
  <w:style w:type="paragraph" w:styleId="Zkladntext1">
    <w:name w:val="Základní text1"/>
    <w:qFormat/>
    <w:pPr>
      <w:widowControl/>
      <w:suppressAutoHyphens w:val="true"/>
      <w:bidi w:val="0"/>
      <w:spacing w:before="144" w:after="144"/>
      <w:ind w:left="0" w:right="0" w:firstLine="709"/>
      <w:jc w:val="both"/>
    </w:pPr>
    <w:rPr>
      <w:rFonts w:ascii="Times New Roman" w:hAnsi="Times New Roman" w:eastAsia="Times New Roman" w:cs="Times New Roman"/>
      <w:color w:val="000000"/>
      <w:kern w:val="0"/>
      <w:sz w:val="24"/>
      <w:szCs w:val="24"/>
      <w:lang w:val="sk-SK" w:eastAsia="zh-CN" w:bidi="ar-SA"/>
    </w:rPr>
  </w:style>
  <w:style w:type="paragraph" w:styleId="Pismenka">
    <w:name w:val="Pismenka"/>
    <w:basedOn w:val="Telotextu"/>
    <w:qFormat/>
    <w:pPr>
      <w:tabs>
        <w:tab w:val="clear" w:pos="708"/>
        <w:tab w:val="left" w:pos="426" w:leader="none"/>
      </w:tabs>
      <w:ind w:left="426" w:right="0" w:hanging="426"/>
    </w:pPr>
    <w:rPr>
      <w:b/>
    </w:rPr>
  </w:style>
  <w:style w:type="paragraph" w:styleId="Zhlavie">
    <w:name w:val="Header"/>
    <w:basedOn w:val="Normal"/>
    <w:pPr>
      <w:tabs>
        <w:tab w:val="clear" w:pos="708"/>
        <w:tab w:val="center" w:pos="4536" w:leader="none"/>
        <w:tab w:val="right" w:pos="9072" w:leader="none"/>
      </w:tabs>
    </w:pPr>
    <w:rPr/>
  </w:style>
  <w:style w:type="paragraph" w:styleId="TltlTextopatreniaArialNarrow11ptZa0pt">
    <w:name w:val="Štýl Štýl Text opatrenia + Arial Narrow 11 pt + Za:  0 pt"/>
    <w:basedOn w:val="Normal"/>
    <w:qFormat/>
    <w:pPr>
      <w:spacing w:before="240" w:after="0"/>
      <w:jc w:val="both"/>
    </w:pPr>
    <w:rPr>
      <w:rFonts w:ascii="Arial Narrow" w:hAnsi="Arial Narrow" w:cs="Arial Narrow"/>
      <w:sz w:val="22"/>
      <w:szCs w:val="22"/>
    </w:rPr>
  </w:style>
  <w:style w:type="paragraph" w:styleId="Odstavec">
    <w:name w:val="odstavec"/>
    <w:basedOn w:val="Normal"/>
    <w:qFormat/>
    <w:pPr>
      <w:ind w:left="0" w:right="-79" w:hanging="0"/>
      <w:jc w:val="both"/>
    </w:pPr>
    <w:rPr>
      <w:sz w:val="24"/>
      <w:szCs w:val="24"/>
    </w:rPr>
  </w:style>
  <w:style w:type="paragraph" w:styleId="Obsahtabuky">
    <w:name w:val="Obsah tabuľky"/>
    <w:basedOn w:val="Normal"/>
    <w:qFormat/>
    <w:pPr>
      <w:suppressLineNumbers/>
    </w:pPr>
    <w:rPr/>
  </w:style>
  <w:style w:type="paragraph" w:styleId="Nadpistabuky">
    <w:name w:val="Nadpis tabuľky"/>
    <w:basedOn w:val="Obsahtabuky"/>
    <w:qFormat/>
    <w:pPr>
      <w:suppressLineNumbers/>
      <w:jc w:val="center"/>
    </w:pPr>
    <w:rPr>
      <w:b/>
      <w:bCs/>
    </w:rPr>
  </w:style>
  <w:style w:type="paragraph" w:styleId="Obsahrmca">
    <w:name w:val="Obsah rámca"/>
    <w:basedOn w:val="Normal"/>
    <w:qFormat/>
    <w:pPr/>
    <w:rPr/>
  </w:style>
  <w:style w:type="paragraph" w:styleId="Zhlavietabuky">
    <w:name w:val="Záhlavie tabuľky"/>
    <w:basedOn w:val="Obsahtabuky"/>
    <w:qFormat/>
    <w:pPr>
      <w:suppressLineNumbers/>
      <w:jc w:val="center"/>
    </w:pPr>
    <w:rPr>
      <w:b/>
      <w:bCs/>
    </w:rPr>
  </w:style>
  <w:style w:type="numbering" w:styleId="WW8Num1">
    <w:name w:val="WW8Num1"/>
    <w:qFormat/>
  </w:style>
  <w:style w:type="numbering" w:styleId="WW8Num2">
    <w:name w:val="WW8Num2"/>
    <w:qFormat/>
  </w:style>
  <w:style w:type="numbering" w:styleId="WW8Num3">
    <w:name w:val="WW8Num3"/>
    <w:qFormat/>
  </w:style>
  <w:style w:type="numbering" w:styleId="WW8Num4">
    <w:name w:val="WW8Num4"/>
    <w:qFormat/>
  </w:style>
  <w:style w:type="numbering" w:styleId="WW8Num5">
    <w:name w:val="WW8Num5"/>
    <w:qFormat/>
  </w:style>
  <w:style w:type="numbering" w:styleId="WW8Num6">
    <w:name w:val="WW8Num6"/>
    <w:qFormat/>
  </w:style>
  <w:style w:type="numbering" w:styleId="WW8Num7">
    <w:name w:val="WW8Num7"/>
    <w:qFormat/>
  </w:style>
  <w:style w:type="numbering" w:styleId="WW8Num8">
    <w:name w:val="WW8Num8"/>
    <w:qFormat/>
  </w:style>
  <w:style w:type="numbering" w:styleId="WW8Num9">
    <w:name w:val="WW8Num9"/>
    <w:qFormat/>
  </w:style>
  <w:style w:type="numbering" w:styleId="WW8Num10">
    <w:name w:val="WW8Num10"/>
    <w:qFormat/>
  </w:style>
  <w:style w:type="numbering" w:styleId="WW8Num11">
    <w:name w:val="WW8Num11"/>
    <w:qFormat/>
  </w:style>
  <w:style w:type="numbering" w:styleId="WW8Num12">
    <w:name w:val="WW8Num12"/>
    <w:qFormat/>
  </w:style>
  <w:style w:type="numbering" w:styleId="WW8Num13">
    <w:name w:val="WW8Num13"/>
    <w:qFormat/>
  </w:style>
  <w:style w:type="numbering" w:styleId="WW8Num14">
    <w:name w:val="WW8Num14"/>
    <w:qFormat/>
  </w:style>
  <w:style w:type="numbering" w:styleId="WW8Num15">
    <w:name w:val="WW8Num15"/>
    <w:qFormat/>
  </w:style>
  <w:style w:type="numbering" w:styleId="WW8Num16">
    <w:name w:val="WW8Num16"/>
    <w:qFormat/>
  </w:style>
  <w:style w:type="numbering" w:styleId="WW8Num17">
    <w:name w:val="WW8Num17"/>
    <w:qFormat/>
  </w:style>
  <w:style w:type="numbering" w:styleId="WW8Num18">
    <w:name w:val="WW8Num18"/>
    <w:qFormat/>
  </w:style>
  <w:style w:type="numbering" w:styleId="WW8Num19">
    <w:name w:val="WW8Num19"/>
    <w:qFormat/>
  </w:style>
  <w:style w:type="numbering" w:styleId="WW8Num20">
    <w:name w:val="WW8Num20"/>
    <w:qFormat/>
  </w:style>
  <w:style w:type="numbering" w:styleId="WW8Num21">
    <w:name w:val="WW8Num21"/>
    <w:qFormat/>
  </w:style>
  <w:style w:type="numbering" w:styleId="WW8Num22">
    <w:name w:val="WW8Num22"/>
    <w:qFormat/>
  </w:style>
  <w:style w:type="numbering" w:styleId="WW8Num23">
    <w:name w:val="WW8Num23"/>
    <w:qFormat/>
  </w:style>
  <w:style w:type="numbering" w:styleId="WW8Num24">
    <w:name w:val="WW8Num24"/>
    <w:qFormat/>
  </w:style>
  <w:style w:type="numbering" w:styleId="WW8Num25">
    <w:name w:val="WW8Num25"/>
    <w:qFormat/>
  </w:style>
  <w:style w:type="numbering" w:styleId="WW8Num26">
    <w:name w:val="WW8Num26"/>
    <w:qFormat/>
  </w:style>
  <w:style w:type="numbering" w:styleId="WW8Num27">
    <w:name w:val="WW8Num27"/>
    <w:qFormat/>
  </w:style>
  <w:style w:type="numbering" w:styleId="WW8Num28">
    <w:name w:val="WW8Num28"/>
    <w:qFormat/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eader" Target="header1.xml"/><Relationship Id="rId3" Type="http://schemas.openxmlformats.org/officeDocument/2006/relationships/footer" Target="footer1.xml"/><Relationship Id="rId4" Type="http://schemas.openxmlformats.org/officeDocument/2006/relationships/numbering" Target="numbering.xml"/><Relationship Id="rId5" Type="http://schemas.openxmlformats.org/officeDocument/2006/relationships/fontTable" Target="fontTable.xml"/><Relationship Id="rId6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>Normal_x005F_x0000_</Template>
  <TotalTime>3730</TotalTime>
  <Application>LibreOffice/7.5.1.2$Windows_X86_64 LibreOffice_project/fcbaee479e84c6cd81291587d2ee68cba099e129</Application>
  <AppVersion>15.0000</AppVersion>
  <Pages>15</Pages>
  <Words>4066</Words>
  <Characters>24524</Characters>
  <CharactersWithSpaces>28431</CharactersWithSpaces>
  <Paragraphs>873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2008-09-28T10:21:00Z</dcterms:created>
  <dc:creator>admin</dc:creator>
  <dc:description/>
  <dc:language>sk-SK</dc:language>
  <cp:lastModifiedBy/>
  <cp:lastPrinted>2015-01-04T10:45:00Z</cp:lastPrinted>
  <dcterms:modified xsi:type="dcterms:W3CDTF">2024-04-02T17:55:04Z</dcterms:modified>
  <cp:revision>1924</cp:revision>
  <dc:subject/>
  <dc:title>Poznámky k 31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