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numPr>
          <w:ilvl w:val="0"/>
          <w:numId w:val="3"/>
        </w:numPr>
        <w:spacing w:before="24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 účtovnej jednotke</w:t>
      </w:r>
    </w:p>
    <w:p>
      <w:pPr>
        <w:pStyle w:val="Normal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>1.Obchodné meno účtovnej jednotky:</w:t>
      </w:r>
    </w:p>
    <w:p>
      <w:pPr>
        <w:pStyle w:val="NoSpacing"/>
        <w:ind w:left="720"/>
        <w:rPr/>
      </w:pPr>
      <w:r>
        <w:rPr/>
        <w:t>Albex Plus, s.r.o.</w:t>
      </w:r>
    </w:p>
    <w:p>
      <w:pPr>
        <w:pStyle w:val="NoSpacing"/>
        <w:ind w:left="720"/>
        <w:rPr/>
      </w:pPr>
      <w:r>
        <w:rPr/>
        <w:t>Sídlo účtovnej jednotky:</w:t>
      </w:r>
    </w:p>
    <w:p>
      <w:pPr>
        <w:pStyle w:val="NoSpacing"/>
        <w:ind w:left="720"/>
        <w:rPr/>
      </w:pPr>
      <w:r>
        <w:rPr/>
        <w:t>Novozámocká 3/A, Nitra</w:t>
      </w:r>
    </w:p>
    <w:p>
      <w:pPr>
        <w:pStyle w:val="NoSpacing"/>
        <w:ind w:left="720"/>
        <w:rPr/>
      </w:pPr>
      <w:r>
        <w:rPr/>
        <w:t>Dátum založenia:</w:t>
      </w:r>
    </w:p>
    <w:p>
      <w:pPr>
        <w:pStyle w:val="NoSpacing"/>
        <w:ind w:left="720"/>
        <w:rPr/>
      </w:pPr>
      <w:r>
        <w:rPr/>
        <w:t>28.10.2002</w:t>
      </w:r>
    </w:p>
    <w:p>
      <w:pPr>
        <w:pStyle w:val="NoSpacing"/>
        <w:ind w:left="360"/>
        <w:rPr/>
      </w:pPr>
      <w:r>
        <w:rPr/>
        <w:t xml:space="preserve">       </w:t>
      </w:r>
      <w:r>
        <w:rPr/>
        <w:t>Dátum vzniku:</w:t>
      </w:r>
    </w:p>
    <w:p>
      <w:pPr>
        <w:pStyle w:val="NoSpacing"/>
        <w:ind w:left="720"/>
        <w:rPr/>
      </w:pPr>
      <w:r>
        <w:rPr/>
        <w:t>28.10.2002</w:t>
      </w:r>
    </w:p>
    <w:p>
      <w:pPr>
        <w:pStyle w:val="NoSpacing"/>
        <w:ind w:left="720"/>
        <w:rPr/>
      </w:pPr>
      <w:r>
        <w:rPr/>
        <w:t>Zapísaná v OR na OS v Nitre,vložka číslo 13555/N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>2. Opis hospodárskej činnosti:</w:t>
      </w:r>
    </w:p>
    <w:p>
      <w:pPr>
        <w:pStyle w:val="NoSpacing"/>
        <w:ind w:left="720"/>
        <w:rPr/>
      </w:pPr>
      <w:r>
        <w:rPr/>
        <w:t>1. Servis a predaj automobilov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>3. Účtovná jednotka nie je neobmedzene ručiacim spoločníkom v iných účtovných jednotkách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>4. Právny dôvod na zostavenie účtovnej uzávierky:</w:t>
      </w:r>
    </w:p>
    <w:p>
      <w:pPr>
        <w:pStyle w:val="NoSpacing"/>
        <w:ind w:left="720"/>
        <w:rPr/>
      </w:pPr>
      <w:r>
        <w:rPr/>
        <w:t>Účtovná jednotka zostavuje riadnu účtovnú závierku za obdobie od 1.januára 2023 do 31.decembra 2023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 xml:space="preserve">5. Účtovná závierka za bezprostredne predchádzajúce účtovné obdobie bola schválená: </w:t>
      </w:r>
    </w:p>
    <w:p>
      <w:pPr>
        <w:pStyle w:val="NoSpacing"/>
        <w:ind w:left="720"/>
        <w:rPr/>
      </w:pPr>
      <w:r>
        <w:rPr/>
        <w:t>Účtovná závierka za rok 2022 bola schválená na zasadnutí VZ dňa 24.3.2023</w:t>
      </w:r>
    </w:p>
    <w:p>
      <w:pPr>
        <w:pStyle w:val="NoSpacing"/>
        <w:ind w:left="720"/>
        <w:rPr>
          <w:color w:val="FF0000"/>
        </w:rPr>
      </w:pPr>
      <w:r>
        <w:rPr>
          <w:color w:val="FF0000"/>
        </w:rPr>
      </w:r>
    </w:p>
    <w:p>
      <w:pPr>
        <w:pStyle w:val="NoSpacing"/>
        <w:ind w:left="720"/>
        <w:rPr>
          <w:b/>
        </w:rPr>
      </w:pPr>
      <w:r>
        <w:rPr>
          <w:b/>
        </w:rPr>
        <w:t>6. Zverejnenie účtovnej závierky za predchádzajúce účtovné obdobie:</w:t>
      </w:r>
    </w:p>
    <w:p>
      <w:pPr>
        <w:pStyle w:val="NoSpacing"/>
        <w:ind w:left="720"/>
        <w:rPr/>
      </w:pPr>
      <w:r>
        <w:rPr/>
        <w:t>UZ spoločnosti k 31. decembru 2022 spolu so správou audítora o overení účtovnej závierky, výročnou správou a dodatkom správy audítora o overení súladu výročnej správy s účtovnou závierkou bola uložená do registra účtovných závierok dňa 31.3.2023 a 14.4.2023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>
          <w:b/>
        </w:rPr>
      </w:pPr>
      <w:r>
        <w:rPr>
          <w:b/>
        </w:rPr>
        <w:t>7.Schválenie audítora:</w:t>
      </w:r>
    </w:p>
    <w:p>
      <w:pPr>
        <w:pStyle w:val="NoSpacing"/>
        <w:ind w:left="720"/>
        <w:rPr/>
      </w:pPr>
      <w:r>
        <w:rPr/>
        <w:t>Valné zhromaždenie dňa 13.3.2023 schválilo spoločnosť AUDIT SK s.r.o. ako audítora na overenie účtovnej závierky za účtovné obdobie od 1.januára 2023 do 31.decembra 2023.</w:t>
      </w:r>
    </w:p>
    <w:p>
      <w:pPr>
        <w:pStyle w:val="NoSpacing"/>
        <w:ind w:left="720"/>
        <w:rPr/>
      </w:pPr>
      <w:r>
        <w:rPr/>
      </w:r>
    </w:p>
    <w:p>
      <w:pPr>
        <w:pStyle w:val="NoSpacing"/>
        <w:ind w:left="72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5"/>
        <w:gridCol w:w="2606"/>
        <w:gridCol w:w="2831"/>
      </w:tblGrid>
      <w:tr>
        <w:trPr/>
        <w:tc>
          <w:tcPr>
            <w:tcW w:w="36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 Informácie o konsolidovanom celku</w:t>
      </w:r>
    </w:p>
    <w:tbl>
      <w:tblPr>
        <w:tblW w:w="964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48"/>
      </w:tblGrid>
      <w:tr>
        <w:trPr>
          <w:trHeight w:val="284" w:hRule="atLeast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rPr>
                <w:szCs w:val="22"/>
              </w:rPr>
            </w:pPr>
            <w:r>
              <w:rPr>
                <w:szCs w:val="22"/>
              </w:rPr>
              <w:t>Účtovná jednotka nie je súčasťou konsolidovaného celku.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E. Informácie o použitých účtovných zásadách a účtovných metódach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1673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both"/>
              <w:rPr/>
            </w:pPr>
            <w:r>
              <w:rPr/>
              <w:t>Spoločnosť zostavila účtovnú závierku za predpokladu nepretržitého pokračovania vo svojej činnosti.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both"/>
              <w:rPr/>
            </w:pPr>
            <w:r>
              <w:rPr/>
              <w:t>Účtovné metódy a všeobecné účtovné zásady boli počas účtovného obdobia dodržané.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both"/>
              <w:rPr/>
            </w:pPr>
            <w:r>
              <w:rPr/>
              <w:t>Spôsob oceňovania jednotlivých zložiek majetku a záväzkov: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 xml:space="preserve">Dlhodobý nehmotný a dlhodobý hmotný majetok 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 xml:space="preserve">Dlhodobý majetok nakupovaný sa oceňuje obstarávacou cenou, ktorá zahŕňa cenu obstarania a náklady súvisiace s obstaraním (clo, prepravu, montáž, poistné a pod.) Odpisy dlhodobého nehmotného majetku sú stanovené vychádzajúc z predpokladanej doby jeho používania. O dlhodobom nehmotnom majetku, ktorého obstarávacia cena je 2400,- eur a menej, sa účtuje priamo do nákladov. Odpisy dlhodobého hmotného majetku sú stanovené vychádzajúc z predpokladanej doby jeho používania a predpokladaného priebehu jeho opotrebenia. Dlhodobý hmotný majetok, ktorého ocenenia sa rovná sume 1700,- eur alebo nižšie, účtuje účtovná jednotka na ťarchu účtu 501. 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Zásoby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 xml:space="preserve">Nakupované zásoby sa oceňujú obstarávacou cenou, ktorá zahŕňa cenu zásob a náklady súvisiace s obstaraním (clo, prepravu, poistné, provízie, skonto a pod.). Nakupované zásoby sa pri úbytku oceňujú váženým aritmetickým priemerom z obstarávacích cien. 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Pohľadávky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 xml:space="preserve">Pohľadávky pri ich vzniku sa oceňujú ich menovitou hodnotou. 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Peňažné prostriedky a ceniny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>Peňažné prostriedky a ceniny sa oceňujú ich menovitou hodnotou.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Náklady budúcich období a príjmy budúcich období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>Náklady budúcich období a príjmy budúcich období sa vykazujú vo výške, ktorá je potrebná na dodržanie zásady vecnej a časovej súvislosti s účtovným obdobím.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Rezervy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 xml:space="preserve">Rezervy sú záväzky s neurčitým časovým vymedzením alebo výškou, tvoria sa na krytie známych rizík alebo strát z podnikania. Oceňujú sa v očakávanej výške záväzku. 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Záväzky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>Záväzky pri ich vzniku sa oceňujú ich menovitou hodnotou.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Výdavky budúcich období a výnosy budúcich období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 xml:space="preserve">Výdavky budúcich období a výnosy budúcich období sa vykazujú vo výške, ktorá je potrebná na dodržanie zásady vecnej a časovej súvislosti s účtovným obdobím. </w:t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jc w:val="both"/>
              <w:rPr/>
            </w:pPr>
            <w:r>
              <w:rPr/>
              <w:t>Cudzia mena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jc w:val="both"/>
              <w:rPr/>
            </w:pPr>
            <w:r>
              <w:rPr/>
              <w:t>Majetok a záväzky vyjadrené v cudzej mene sa prepočítavajú na eurá referenčným výmenným kurzom určeným a vyhláseným Európskou centrálnou bankou alebo NBS v deň uskutočnenia účtovného prípadu alebo v iný deň, ak to ustanovuje osobitný predpis a v deň, ku ktorému sa zostavuje účtovná závierka.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ind w:left="1080"/>
              <w:rPr/>
            </w:pPr>
            <w:r>
              <w:rPr/>
            </w:r>
          </w:p>
          <w:p>
            <w:pPr>
              <w:pStyle w:val="Normal"/>
              <w:numPr>
                <w:ilvl w:val="1"/>
                <w:numId w:val="2"/>
              </w:numPr>
              <w:tabs>
                <w:tab w:val="clear" w:pos="708"/>
                <w:tab w:val="left" w:pos="232" w:leader="none"/>
              </w:tabs>
              <w:spacing w:lineRule="auto" w:line="240" w:before="0" w:after="0"/>
              <w:rPr/>
            </w:pPr>
            <w:r>
              <w:rPr/>
              <w:t>Výnosy</w:t>
            </w:r>
          </w:p>
          <w:p>
            <w:pPr>
              <w:pStyle w:val="Normal"/>
              <w:tabs>
                <w:tab w:val="clear" w:pos="708"/>
                <w:tab w:val="left" w:pos="232" w:leader="none"/>
              </w:tabs>
              <w:spacing w:before="0" w:after="200"/>
              <w:ind w:left="1080"/>
              <w:rPr/>
            </w:pPr>
            <w:r>
              <w:rPr/>
              <w:t>Tržby za vlastné výkony a tovar neobsahujú daň z pridanej hodnoty a sú znížené o zľavy a zrážky (rabaty, bonusy, skontá, dobropisy a pod.).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F. Informácie o údajoch vykázaných na strane aktív súvahy</w:t>
      </w:r>
    </w:p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3"/>
        <w:gridCol w:w="838"/>
        <w:gridCol w:w="853"/>
        <w:gridCol w:w="963"/>
        <w:gridCol w:w="696"/>
        <w:gridCol w:w="838"/>
        <w:gridCol w:w="1131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2"/>
        <w:gridCol w:w="838"/>
        <w:gridCol w:w="854"/>
        <w:gridCol w:w="961"/>
        <w:gridCol w:w="662"/>
        <w:gridCol w:w="36"/>
        <w:gridCol w:w="838"/>
        <w:gridCol w:w="1131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1 992</w:t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50"/>
        <w:gridCol w:w="2721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472"/>
        <w:gridCol w:w="12"/>
        <w:gridCol w:w="5"/>
        <w:gridCol w:w="972"/>
        <w:gridCol w:w="891"/>
        <w:gridCol w:w="689"/>
        <w:gridCol w:w="11"/>
        <w:gridCol w:w="112"/>
        <w:gridCol w:w="1001"/>
        <w:gridCol w:w="892"/>
        <w:gridCol w:w="54"/>
        <w:gridCol w:w="564"/>
        <w:gridCol w:w="682"/>
        <w:gridCol w:w="863"/>
        <w:gridCol w:w="851"/>
      </w:tblGrid>
      <w:tr>
        <w:trPr>
          <w:trHeight w:val="145" w:hRule="atLeast"/>
        </w:trPr>
        <w:tc>
          <w:tcPr>
            <w:tcW w:w="14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9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4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1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8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1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1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1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1 087 735</w:t>
            </w:r>
          </w:p>
        </w:tc>
        <w:tc>
          <w:tcPr>
            <w:tcW w:w="81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635149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1722884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144333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144333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61850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61850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1 087 735</w:t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717632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1805367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901078</w:t>
            </w:r>
          </w:p>
        </w:tc>
        <w:tc>
          <w:tcPr>
            <w:tcW w:w="81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550398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1451476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27912</w:t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62070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89982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64758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64758</w:t>
            </w:r>
          </w:p>
        </w:tc>
      </w:tr>
      <w:tr>
        <w:trPr>
          <w:trHeight w:val="397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928990</w:t>
            </w:r>
          </w:p>
        </w:tc>
        <w:tc>
          <w:tcPr>
            <w:tcW w:w="81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547710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1476700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4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186657</w:t>
            </w:r>
          </w:p>
        </w:tc>
        <w:tc>
          <w:tcPr>
            <w:tcW w:w="6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243496</w:t>
            </w:r>
          </w:p>
        </w:tc>
        <w:tc>
          <w:tcPr>
            <w:tcW w:w="112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430153</w:t>
            </w:r>
          </w:p>
        </w:tc>
      </w:tr>
      <w:tr>
        <w:trPr>
          <w:trHeight w:val="290" w:hRule="atLeast"/>
        </w:trPr>
        <w:tc>
          <w:tcPr>
            <w:tcW w:w="14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158745</w:t>
            </w:r>
          </w:p>
        </w:tc>
        <w:tc>
          <w:tcPr>
            <w:tcW w:w="6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169921</w:t>
            </w:r>
          </w:p>
        </w:tc>
        <w:tc>
          <w:tcPr>
            <w:tcW w:w="112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6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328666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p>
      <w:pPr>
        <w:pStyle w:val="Normal"/>
        <w:rPr>
          <w:szCs w:val="22"/>
        </w:rPr>
      </w:pPr>
      <w:r>
        <w:rPr>
          <w:szCs w:val="22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479"/>
        <w:gridCol w:w="11"/>
        <w:gridCol w:w="6"/>
        <w:gridCol w:w="976"/>
        <w:gridCol w:w="869"/>
        <w:gridCol w:w="692"/>
        <w:gridCol w:w="11"/>
        <w:gridCol w:w="112"/>
        <w:gridCol w:w="951"/>
        <w:gridCol w:w="19"/>
        <w:gridCol w:w="924"/>
        <w:gridCol w:w="7"/>
        <w:gridCol w:w="679"/>
        <w:gridCol w:w="679"/>
        <w:gridCol w:w="815"/>
        <w:gridCol w:w="841"/>
      </w:tblGrid>
      <w:tr>
        <w:trPr>
          <w:trHeight w:val="145" w:hRule="atLeast"/>
        </w:trPr>
        <w:tc>
          <w:tcPr>
            <w:tcW w:w="14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2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4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50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1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50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1087735</w:t>
            </w:r>
          </w:p>
        </w:tc>
        <w:tc>
          <w:tcPr>
            <w:tcW w:w="8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637191</w:t>
            </w:r>
          </w:p>
        </w:tc>
        <w:tc>
          <w:tcPr>
            <w:tcW w:w="9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1724926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34882</w:t>
            </w:r>
          </w:p>
        </w:tc>
        <w:tc>
          <w:tcPr>
            <w:tcW w:w="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34882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36924</w:t>
            </w:r>
          </w:p>
        </w:tc>
        <w:tc>
          <w:tcPr>
            <w:tcW w:w="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36924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1 087 735</w:t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635149</w:t>
            </w:r>
          </w:p>
        </w:tc>
        <w:tc>
          <w:tcPr>
            <w:tcW w:w="9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1722884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875908</w:t>
            </w:r>
          </w:p>
        </w:tc>
        <w:tc>
          <w:tcPr>
            <w:tcW w:w="8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538368</w:t>
            </w:r>
          </w:p>
        </w:tc>
        <w:tc>
          <w:tcPr>
            <w:tcW w:w="9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1414276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48954</w:t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74124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36924</w:t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36924</w:t>
            </w:r>
          </w:p>
        </w:tc>
      </w:tr>
      <w:tr>
        <w:trPr>
          <w:trHeight w:val="397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9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901078</w:t>
            </w:r>
          </w:p>
        </w:tc>
        <w:tc>
          <w:tcPr>
            <w:tcW w:w="8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550398</w:t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1451476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4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211827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98823</w:t>
            </w:r>
          </w:p>
        </w:tc>
        <w:tc>
          <w:tcPr>
            <w:tcW w:w="10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310650</w:t>
            </w:r>
          </w:p>
        </w:tc>
      </w:tr>
      <w:tr>
        <w:trPr>
          <w:trHeight w:val="290" w:hRule="atLeast"/>
        </w:trPr>
        <w:tc>
          <w:tcPr>
            <w:tcW w:w="14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186657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84751</w:t>
            </w:r>
          </w:p>
        </w:tc>
        <w:tc>
          <w:tcPr>
            <w:tcW w:w="10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271408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0"/>
        <w:gridCol w:w="3001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Dlhodobý majetok, pri ktorom má účtovná jednotka obmedzené právo s ním nakladať    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>Informácie k prílohe č. 3 časti F. písm. j),l) o  dlhodobom finančnom majetku</w:t>
      </w:r>
    </w:p>
    <w:p>
      <w:pPr>
        <w:pStyle w:val="Title"/>
        <w:keepNext w:val="false"/>
        <w:spacing w:beforeAutospacing="0" w:before="0" w:after="0"/>
        <w:ind w:left="360"/>
        <w:jc w:val="left"/>
        <w:rPr>
          <w:b w:val="false"/>
        </w:rPr>
      </w:pPr>
      <w:r>
        <w:rPr>
          <w:b w:val="false"/>
        </w:rPr>
        <w:t>Spoločnosť nemá dlhodobý finančný majetok</w:t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 zásobám</w:t>
      </w:r>
    </w:p>
    <w:p>
      <w:pPr>
        <w:pStyle w:val="Normal"/>
        <w:ind w:left="357"/>
        <w:rPr>
          <w:szCs w:val="22"/>
        </w:rPr>
      </w:pPr>
      <w:r>
        <w:rPr/>
        <w:t>Spoločnosť ponížila opravnú položku k zásobám vo výške  270,77 €</w:t>
      </w:r>
    </w:p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p>
      <w:pPr>
        <w:pStyle w:val="Normal"/>
        <w:ind w:left="357"/>
        <w:rPr/>
      </w:pPr>
      <w:r>
        <w:rPr/>
        <w:t>Nie je zriadené záložné právo na zásoby</w:t>
      </w:r>
    </w:p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ind w:left="360"/>
        <w:rPr>
          <w:b/>
          <w:szCs w:val="22"/>
        </w:rPr>
      </w:pPr>
      <w:r>
        <w:rPr/>
        <w:t>Spoločnosť neúčtuje o zákazkovej výrobe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p>
      <w:pPr>
        <w:pStyle w:val="Normal"/>
        <w:ind w:left="360"/>
        <w:rPr/>
      </w:pPr>
      <w:r>
        <w:rPr/>
        <w:t xml:space="preserve">Spoločnosť netvorila opravnú položku k pohľadávkam </w:t>
      </w:r>
    </w:p>
    <w:p>
      <w:pPr>
        <w:pStyle w:val="Normal"/>
        <w:ind w:left="360"/>
        <w:rPr/>
      </w:pPr>
      <w:r>
        <w:rPr/>
      </w:r>
    </w:p>
    <w:p>
      <w:pPr>
        <w:pStyle w:val="Normal"/>
        <w:ind w:left="360"/>
        <w:rPr/>
      </w:pPr>
      <w:r>
        <w:rPr/>
      </w:r>
    </w:p>
    <w:p>
      <w:pPr>
        <w:pStyle w:val="Normal"/>
        <w:ind w:left="360"/>
        <w:rPr/>
      </w:pPr>
      <w:r>
        <w:rPr/>
      </w:r>
    </w:p>
    <w:p>
      <w:pPr>
        <w:pStyle w:val="Normal"/>
        <w:ind w:left="360"/>
        <w:rPr/>
      </w:pPr>
      <w:r>
        <w:rPr/>
      </w:r>
    </w:p>
    <w:p>
      <w:pPr>
        <w:pStyle w:val="Normal"/>
        <w:ind w:left="360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11"/>
        <w:gridCol w:w="1939"/>
        <w:gridCol w:w="1805"/>
        <w:gridCol w:w="1916"/>
      </w:tblGrid>
      <w:tr>
        <w:trPr/>
        <w:tc>
          <w:tcPr>
            <w:tcW w:w="3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11983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51744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63727</w:t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4"/>
        <w:gridCol w:w="2235"/>
        <w:gridCol w:w="2163"/>
      </w:tblGrid>
      <w:tr>
        <w:trPr/>
        <w:tc>
          <w:tcPr>
            <w:tcW w:w="46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ormal"/>
        <w:rPr/>
      </w:pPr>
      <w:r>
        <w:rPr/>
        <w:t>Ako finančné účty sú vykázané peniaze v pokladnici a účty v bankách. Účtami v bankách môže spoločnosť voľne disponovať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571"/>
        <w:gridCol w:w="2376"/>
      </w:tblGrid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26618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20856</w:t>
            </w:r>
          </w:p>
        </w:tc>
      </w:tr>
      <w:tr>
        <w:trPr>
          <w:trHeight w:val="52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353486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783928</w:t>
            </w:r>
          </w:p>
        </w:tc>
      </w:tr>
      <w:tr>
        <w:trPr>
          <w:trHeight w:val="57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380104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804784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G. Informácie o údajoch vykázaných na strane pasív súvahy</w:t>
      </w:r>
    </w:p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0"/>
        <w:gridCol w:w="2461"/>
      </w:tblGrid>
      <w:tr>
        <w:trPr>
          <w:trHeight w:val="765" w:hRule="atLeast"/>
        </w:trPr>
        <w:tc>
          <w:tcPr>
            <w:tcW w:w="6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173163</w:t>
            </w:r>
          </w:p>
        </w:tc>
      </w:tr>
      <w:tr>
        <w:trPr>
          <w:trHeight w:val="330" w:hRule="atLeast"/>
        </w:trPr>
        <w:tc>
          <w:tcPr>
            <w:tcW w:w="6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86859</w:t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86859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60"/>
        <w:gridCol w:w="1907"/>
        <w:gridCol w:w="1000"/>
        <w:gridCol w:w="1108"/>
        <w:gridCol w:w="1107"/>
        <w:gridCol w:w="1489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7666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7666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6336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6336</w:t>
            </w:r>
          </w:p>
        </w:tc>
      </w:tr>
      <w:tr>
        <w:trPr>
          <w:trHeight w:val="492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0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10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0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60"/>
        <w:gridCol w:w="1907"/>
        <w:gridCol w:w="1000"/>
        <w:gridCol w:w="1108"/>
        <w:gridCol w:w="1107"/>
        <w:gridCol w:w="1489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9122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9122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00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0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10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0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7"/>
        <w:gridCol w:w="2855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28348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76521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28348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76521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903557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1882708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903557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1882708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675000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1183187</w:t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9"/>
        <w:gridCol w:w="2159"/>
        <w:gridCol w:w="2044"/>
      </w:tblGrid>
      <w:tr>
        <w:trPr>
          <w:trHeight w:val="990" w:hRule="atLeast"/>
        </w:trPr>
        <w:tc>
          <w:tcPr>
            <w:tcW w:w="48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 -374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-830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-830</w:t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-830</w:t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p>
      <w:pPr>
        <w:pStyle w:val="Normal"/>
        <w:rPr/>
      </w:pPr>
      <w:r>
        <w:rPr/>
        <w:t>Sociálny fond sa tvorí podľa zákona o SF na ťarchu nákladov. Sociálny fond sa podľa zákona čerpá na sociálne, rekreačné a iné potreby zamestnancov.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3"/>
        <w:gridCol w:w="2585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4821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4821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5391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rPr/>
      </w:pPr>
      <w:r>
        <w:rPr/>
        <w:t>Spoločnosť nemá úvery v banke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78"/>
        <w:gridCol w:w="859"/>
        <w:gridCol w:w="807"/>
        <w:gridCol w:w="1247"/>
        <w:gridCol w:w="1384"/>
        <w:gridCol w:w="1109"/>
        <w:gridCol w:w="1487"/>
      </w:tblGrid>
      <w:tr>
        <w:trPr>
          <w:trHeight w:val="990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Úver Ateca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3,00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24.6.2025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6372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Úver Qashqai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2,99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5.10.2025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10922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Úver auto Tarraco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3,90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13.09.2026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14736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19715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Úver auto Ateca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4,49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01.02.2027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Cs/>
                <w:szCs w:val="22"/>
              </w:rPr>
              <w:t>Úver auto Ateca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03.09.2023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2870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Úver auto Porsche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30.10.2023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12986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Úver auto ASX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6,7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11.07.2027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16223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p>
      <w:pPr>
        <w:pStyle w:val="Normal"/>
        <w:rPr/>
      </w:pPr>
      <w:r>
        <w:rPr/>
        <w:t>Spoločnosť nemá majetok prenajatý formou finančného prenájmu</w:t>
      </w:r>
    </w:p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H. Informácie o výnosoch </w:t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6"/>
        <w:gridCol w:w="1707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1106640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984448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6222390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10533557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232976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192395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7562006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11710400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I. Informácie o nákladoch </w:t>
      </w:r>
    </w:p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spoločnosti, významné položky za poskytnuté služby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6"/>
        <w:gridCol w:w="1802"/>
        <w:gridCol w:w="1904"/>
      </w:tblGrid>
      <w:tr>
        <w:trPr>
          <w:trHeight w:val="1005" w:hRule="atLeast"/>
        </w:trPr>
        <w:tc>
          <w:tcPr>
            <w:tcW w:w="5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exac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1330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za poskyt.služby, z toho: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366820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470994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45968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174910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služby servis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30962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27006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54720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reklama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13623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mechanické práce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2415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19270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prenájom HM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111836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telefón, pošta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7328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6465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146380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111567</w:t>
            </w:r>
          </w:p>
        </w:tc>
      </w:tr>
      <w:tr>
        <w:trPr>
          <w:trHeight w:val="369" w:hRule="atLeast"/>
        </w:trPr>
        <w:tc>
          <w:tcPr>
            <w:tcW w:w="536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IT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J. Informácie o daniach z príjmov</w:t>
      </w:r>
    </w:p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4"/>
        <w:gridCol w:w="1626"/>
        <w:gridCol w:w="1802"/>
      </w:tblGrid>
      <w:tr>
        <w:trPr>
          <w:trHeight w:val="840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90"/>
        <w:gridCol w:w="1637"/>
        <w:gridCol w:w="768"/>
        <w:gridCol w:w="644"/>
        <w:gridCol w:w="1867"/>
        <w:gridCol w:w="792"/>
        <w:gridCol w:w="673"/>
      </w:tblGrid>
      <w:tr>
        <w:trPr>
          <w:trHeight w:val="642" w:hRule="atLeast"/>
        </w:trPr>
        <w:tc>
          <w:tcPr>
            <w:tcW w:w="269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3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69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6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  <w:tc>
          <w:tcPr>
            <w:tcW w:w="7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110280</w:t>
            </w:r>
          </w:p>
        </w:tc>
        <w:tc>
          <w:tcPr>
            <w:tcW w:w="79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5455</w:t>
            </w:r>
          </w:p>
        </w:tc>
        <w:tc>
          <w:tcPr>
            <w:tcW w:w="64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2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23159</w:t>
            </w:r>
          </w:p>
        </w:tc>
        <w:tc>
          <w:tcPr>
            <w:tcW w:w="67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22217</w:t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6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0,86</w:t>
            </w:r>
          </w:p>
        </w:tc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7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67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-1429</w:t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6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-0,05</w:t>
            </w:r>
          </w:p>
        </w:tc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-1471</w:t>
            </w:r>
          </w:p>
        </w:tc>
        <w:tc>
          <w:tcPr>
            <w:tcW w:w="7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-309</w:t>
            </w:r>
          </w:p>
        </w:tc>
        <w:tc>
          <w:tcPr>
            <w:tcW w:w="67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-0,01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46766</w:t>
            </w:r>
          </w:p>
        </w:tc>
        <w:tc>
          <w:tcPr>
            <w:tcW w:w="7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9821</w:t>
            </w:r>
          </w:p>
        </w:tc>
        <w:tc>
          <w:tcPr>
            <w:tcW w:w="64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21,8</w:t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115484</w:t>
            </w: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24251</w:t>
            </w:r>
          </w:p>
        </w:tc>
        <w:tc>
          <w:tcPr>
            <w:tcW w:w="67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21,99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9821</w:t>
            </w:r>
          </w:p>
        </w:tc>
        <w:tc>
          <w:tcPr>
            <w:tcW w:w="64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24251</w:t>
            </w:r>
          </w:p>
        </w:tc>
        <w:tc>
          <w:tcPr>
            <w:tcW w:w="67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-830</w:t>
            </w:r>
          </w:p>
        </w:tc>
        <w:tc>
          <w:tcPr>
            <w:tcW w:w="67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0,03</w:t>
            </w:r>
          </w:p>
        </w:tc>
      </w:tr>
      <w:tr>
        <w:trPr>
          <w:trHeight w:val="397" w:hRule="atLeast"/>
        </w:trPr>
        <w:tc>
          <w:tcPr>
            <w:tcW w:w="26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9821</w:t>
            </w:r>
          </w:p>
        </w:tc>
        <w:tc>
          <w:tcPr>
            <w:tcW w:w="64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86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23421</w:t>
            </w:r>
          </w:p>
        </w:tc>
        <w:tc>
          <w:tcPr>
            <w:tcW w:w="67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K. Informácie o údajoch na podsúvahových účtoch </w:t>
      </w:r>
    </w:p>
    <w:p>
      <w:pPr>
        <w:pStyle w:val="Title"/>
        <w:spacing w:beforeAutospacing="0" w:before="0" w:after="60"/>
        <w:jc w:val="left"/>
        <w:rPr>
          <w:szCs w:val="22"/>
        </w:rPr>
      </w:pPr>
      <w:r>
        <w:rPr>
          <w:b w:val="false"/>
          <w:szCs w:val="22"/>
        </w:rPr>
        <w:t>25. Informácie k časť K. prílohy č. 3 o podsúvahových položkách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492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rPr>
                <w:szCs w:val="22"/>
              </w:rPr>
            </w:pPr>
            <w:r>
              <w:rPr>
                <w:szCs w:val="22"/>
              </w:rPr>
              <w:t>Spoločnosť neeviduje údaje na podsúvahových položkách.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L. Informácie o iných aktívach a iných pasívach</w:t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 w:val="21"/>
          <w:szCs w:val="21"/>
        </w:rPr>
      </w:pPr>
      <w:r>
        <w:rPr>
          <w:b w:val="false"/>
          <w:sz w:val="21"/>
          <w:szCs w:val="21"/>
        </w:rPr>
        <w:t>26. Informácie k časti L. písm. a) prílohy č. 3 o podmienených záväzkoch</w:t>
      </w:r>
    </w:p>
    <w:p>
      <w:pPr>
        <w:pStyle w:val="Title"/>
        <w:spacing w:beforeAutospacing="0" w:before="0" w:after="0"/>
        <w:jc w:val="left"/>
        <w:rPr>
          <w:sz w:val="18"/>
          <w:szCs w:val="18"/>
        </w:rPr>
      </w:pPr>
      <w:r>
        <w:rPr>
          <w:b w:val="false"/>
          <w:sz w:val="21"/>
          <w:szCs w:val="21"/>
        </w:rPr>
        <w:t>Tabuľka č. 1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567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Spoločnosť neeviduje záväzky zo súdnych rozhodnutí z ručenia a iných podmienených záväzkov.</w:t>
            </w:r>
          </w:p>
        </w:tc>
      </w:tr>
    </w:tbl>
    <w:p>
      <w:pPr>
        <w:pStyle w:val="Title"/>
        <w:spacing w:beforeAutospacing="0" w:before="0" w:after="60"/>
        <w:jc w:val="left"/>
        <w:rPr>
          <w:b w:val="false"/>
          <w:sz w:val="21"/>
          <w:szCs w:val="21"/>
        </w:rPr>
      </w:pPr>
      <w:r>
        <w:rPr>
          <w:b w:val="false"/>
          <w:sz w:val="21"/>
          <w:szCs w:val="21"/>
        </w:rPr>
      </w:r>
    </w:p>
    <w:p>
      <w:pPr>
        <w:pStyle w:val="Title"/>
        <w:spacing w:beforeAutospacing="0" w:before="0" w:after="60"/>
        <w:jc w:val="left"/>
        <w:rPr>
          <w:sz w:val="21"/>
          <w:szCs w:val="21"/>
        </w:rPr>
      </w:pPr>
      <w:r>
        <w:rPr>
          <w:b w:val="false"/>
          <w:sz w:val="21"/>
          <w:szCs w:val="21"/>
        </w:rPr>
        <w:t>27. Informácie k časti L. písm. c) prílohy č. 3 o podmienenom majetku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387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4920" w:leader="none"/>
              </w:tabs>
              <w:spacing w:before="0" w:after="200"/>
              <w:rPr/>
            </w:pPr>
            <w:r>
              <w:rPr/>
              <w:t>Spoločnosť neeviduje údaje o podmienenom majetku.</w:t>
              <w:tab/>
              <w:t xml:space="preserve">     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M. Informácie o príjmoch a výhodách členov štatutárnych orgánov, dozorných orgánov a iných orgánov účtovnej jednotky </w:t>
      </w:r>
    </w:p>
    <w:p>
      <w:pPr>
        <w:pStyle w:val="Title"/>
        <w:keepNext w:val="false"/>
        <w:widowControl w:val="false"/>
        <w:spacing w:beforeAutospacing="0" w:before="0" w:after="60"/>
        <w:jc w:val="both"/>
        <w:rPr>
          <w:szCs w:val="22"/>
        </w:rPr>
      </w:pPr>
      <w:r>
        <w:rPr>
          <w:b w:val="false"/>
          <w:szCs w:val="22"/>
        </w:rPr>
        <w:t>28. Informácie k časti M. prílohy č. 3 o príjmoch a výhodách členov štatutárnych orgánov, dozorných orgánov a iných orgánov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299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rPr>
                <w:szCs w:val="22"/>
              </w:rPr>
            </w:pPr>
            <w:r>
              <w:rPr>
                <w:szCs w:val="22"/>
              </w:rPr>
              <w:t>Spoločnosť neeviduje údaje o výhodách členov štatutárnych orgánov, dozorných orgánov a iných orgánov.</w:t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N. Informácie o ekonomických vzťahoch účtovnej jednotky a spriaznených osôb </w:t>
      </w:r>
    </w:p>
    <w:p>
      <w:pPr>
        <w:pStyle w:val="Title"/>
        <w:keepNext w:val="false"/>
        <w:spacing w:beforeAutospacing="0" w:before="0" w:after="0"/>
        <w:jc w:val="both"/>
        <w:rPr>
          <w:b w:val="false"/>
          <w:sz w:val="21"/>
          <w:szCs w:val="21"/>
        </w:rPr>
      </w:pPr>
      <w:r>
        <w:rPr>
          <w:b w:val="false"/>
          <w:sz w:val="21"/>
          <w:szCs w:val="21"/>
        </w:rPr>
        <w:t>29. Informácie k časti N. prílohy č. 3 o ekonomických vzťahoch medzi účtovnou jednotkou a spriaznenými osobami</w:t>
      </w:r>
    </w:p>
    <w:p>
      <w:pPr>
        <w:pStyle w:val="Title"/>
        <w:keepNext w:val="false"/>
        <w:spacing w:beforeAutospacing="0" w:before="0" w:after="0"/>
        <w:jc w:val="left"/>
        <w:rPr>
          <w:sz w:val="21"/>
          <w:szCs w:val="21"/>
        </w:rPr>
      </w:pPr>
      <w:r>
        <w:rPr>
          <w:b w:val="false"/>
          <w:sz w:val="21"/>
          <w:szCs w:val="21"/>
        </w:rPr>
        <w:t>Tabuľka č. 1</w:t>
      </w:r>
    </w:p>
    <w:tbl>
      <w:tblPr>
        <w:tblW w:w="902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24"/>
      </w:tblGrid>
      <w:tr>
        <w:trPr>
          <w:trHeight w:val="558" w:hRule="atLeast"/>
        </w:trPr>
        <w:tc>
          <w:tcPr>
            <w:tcW w:w="9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Nevznikli vzťahy medzi účtovnou jednotkou a spriaznenými osobami</w:t>
            </w:r>
          </w:p>
        </w:tc>
      </w:tr>
    </w:tbl>
    <w:p>
      <w:pPr>
        <w:pStyle w:val="Normal"/>
        <w:rPr/>
      </w:pPr>
      <w:r>
        <w:rPr/>
      </w:r>
    </w:p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O. Informácie o skutočnostiach, ktoré nastali po dni, ku ktorému sa zostavuje účtovná závierka do dňa zostavenia účtovnej závierky </w:t>
      </w:r>
    </w:p>
    <w:tbl>
      <w:tblPr>
        <w:tblW w:w="964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48"/>
      </w:tblGrid>
      <w:tr>
        <w:trPr>
          <w:trHeight w:val="188" w:hRule="atLeast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Cs w:val="22"/>
              </w:rPr>
            </w:pPr>
            <w:r>
              <w:rPr>
                <w:szCs w:val="22"/>
              </w:rPr>
              <w:t>Po dni, ku ktorému sa zostavuje účtovná závierka spoločnosti nenastali významné zmeny, ktoré by mali vplyv na účtovnú závierku roka 2023.</w:t>
            </w:r>
          </w:p>
          <w:p>
            <w:pPr>
              <w:pStyle w:val="Normal"/>
              <w:spacing w:before="0" w:after="20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P. Prehľad zmien vlastného imania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4"/>
        <w:gridCol w:w="1395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31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219264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86858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306122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86859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9"/>
        <w:gridCol w:w="1394"/>
        <w:gridCol w:w="1394"/>
        <w:gridCol w:w="1395"/>
        <w:gridCol w:w="1395"/>
        <w:gridCol w:w="1394"/>
      </w:tblGrid>
      <w:tr>
        <w:trPr>
          <w:trHeight w:val="396" w:hRule="atLeast"/>
        </w:trPr>
        <w:tc>
          <w:tcPr>
            <w:tcW w:w="20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0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207837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173163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161736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219264</w:t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173163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86859</w:t>
            </w:r>
          </w:p>
        </w:tc>
      </w:tr>
      <w:tr>
        <w:trPr>
          <w:trHeight w:val="330" w:hRule="atLeast"/>
        </w:trPr>
        <w:tc>
          <w:tcPr>
            <w:tcW w:w="209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0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7" w:right="1417" w:gutter="0" w:header="709" w:top="1417" w:footer="709" w:bottom="1417"/>
          <w:pgNumType w:start="2" w:fmt="decimal"/>
          <w:formProt w:val="false"/>
          <w:textDirection w:val="lrTb"/>
          <w:docGrid w:type="default" w:linePitch="360" w:charSpace="4096"/>
        </w:sectPr>
      </w:pPr>
    </w:p>
    <w:p>
      <w:pPr>
        <w:pStyle w:val="Heading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T. Prehľad peňažných tokov pri použití nepriamej metódy</w:t>
      </w:r>
    </w:p>
    <w:p>
      <w:pPr>
        <w:pStyle w:val="Title"/>
        <w:keepNext w:val="false"/>
        <w:widowControl w:val="false"/>
        <w:spacing w:beforeAutospacing="0" w:before="0" w:after="60"/>
        <w:jc w:val="left"/>
        <w:rPr>
          <w:b w:val="false"/>
          <w:sz w:val="21"/>
          <w:szCs w:val="21"/>
        </w:rPr>
      </w:pPr>
      <w:r>
        <w:rPr>
          <w:b w:val="false"/>
          <w:sz w:val="21"/>
          <w:szCs w:val="21"/>
        </w:rPr>
      </w:r>
    </w:p>
    <w:p>
      <w:pPr>
        <w:pStyle w:val="Title"/>
        <w:keepNext w:val="false"/>
        <w:widowControl w:val="false"/>
        <w:spacing w:beforeAutospacing="0" w:before="0" w:after="60"/>
        <w:jc w:val="left"/>
        <w:rPr>
          <w:b w:val="false"/>
          <w:sz w:val="21"/>
          <w:szCs w:val="21"/>
        </w:rPr>
      </w:pPr>
      <w:r>
        <w:rPr>
          <w:b w:val="false"/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firstRow="1" w:noVBand="1" w:lastRow="0" w:firstColumn="1" w:lastColumn="0" w:noHBand="0" w:val="04a0"/>
      </w:tblPr>
      <w:tblGrid>
        <w:gridCol w:w="1260"/>
        <w:gridCol w:w="4976"/>
        <w:gridCol w:w="1312"/>
        <w:gridCol w:w="1523"/>
      </w:tblGrid>
      <w:tr>
        <w:trPr>
          <w:tblHeader w:val="true"/>
          <w:trHeight w:val="300" w:hRule="atLeast"/>
        </w:trPr>
        <w:tc>
          <w:tcPr>
            <w:tcW w:w="1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49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1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>
        <w:trPr>
          <w:tblHeader w:val="true"/>
          <w:trHeight w:val="770" w:hRule="atLeast"/>
        </w:trPr>
        <w:tc>
          <w:tcPr>
            <w:tcW w:w="126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97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312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1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110280</w:t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  <w:br/>
              <w:t>(súčet A. 1. 1. až A. 1. 13.)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78280</w:t>
            </w:r>
          </w:p>
        </w:tc>
      </w:tr>
      <w:tr>
        <w:trPr>
          <w:trHeight w:val="42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 xml:space="preserve">(+)     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74124</w:t>
            </w:r>
          </w:p>
        </w:tc>
      </w:tr>
      <w:tr>
        <w:trPr>
          <w:trHeight w:val="102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rezerv (+/-)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-2773</w:t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opravných položiek (+/-)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položiek časového rozlíšenia nákladov a výnosov (+/-)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-1366</w:t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účtované do nákladov (+)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8295</w:t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účtované do výnosov (-)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>
        <w:trPr>
          <w:trHeight w:val="6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  <w:br/>
              <w:t>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>
        <w:trPr>
          <w:trHeight w:val="73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>
        <w:trPr>
          <w:trHeight w:val="543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>
        <w:trPr>
          <w:trHeight w:val="274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  <w:br/>
              <w:t>(súčet A. 2. 1. až A. 2. 4.)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241528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pohľadávok z prevádzkovej činnosti (-/+)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65904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záväzkov z prevádzkovej činnosti (+/-)              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1040039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zásob (-/+)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-864415</w:t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06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  <w:br/>
              <w:t>(súčet Z/S + A. 1. + A. 2.)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319808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Prijaté úroky, s výnimkou tých, ktoré sa začleňujú do investičných činností (+)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557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-8295</w:t>
            </w:r>
          </w:p>
        </w:tc>
      </w:tr>
      <w:tr>
        <w:trPr>
          <w:trHeight w:val="46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(+/-),</w:t>
              <w:br/>
              <w:t>(súčet Z/S + A. 1. až A. 6.)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421793</w:t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22123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599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  <w:br/>
              <w:t xml:space="preserve">(súčet Z/S + A. 1. až A. 9.)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341931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>
        <w:trPr>
          <w:trHeight w:val="1242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7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0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771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809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investičnej činnosti</w:t>
              <w:br/>
              <w:t xml:space="preserve">(súčet B. 1. až B. 19.)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588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568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  <w:br/>
              <w:t xml:space="preserve">(súčet C. 2. 1. až C. 2. 9.) 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58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-6870</w:t>
            </w:r>
          </w:p>
        </w:tc>
      </w:tr>
      <w:tr>
        <w:trPr>
          <w:trHeight w:val="9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-978</w:t>
            </w:r>
          </w:p>
        </w:tc>
      </w:tr>
      <w:tr>
        <w:trPr>
          <w:trHeight w:val="593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71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>
        <w:trPr>
          <w:trHeight w:val="66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767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94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mimoriadneho charakteru vzťahujúce sa na finančnú činnosť (+)   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3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i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finančnej činnosti</w:t>
              <w:br/>
              <w:t>(súčet C. 1. až C. 9.)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-7848</w:t>
            </w:r>
          </w:p>
        </w:tc>
      </w:tr>
      <w:tr>
        <w:trPr>
          <w:trHeight w:val="529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334083</w:t>
            </w:r>
          </w:p>
        </w:tc>
      </w:tr>
      <w:tr>
        <w:trPr>
          <w:trHeight w:val="553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  <w:br/>
              <w:t xml:space="preserve">na začiatku účtovného obdobia (+/-)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610879</w:t>
            </w:r>
          </w:p>
        </w:tc>
      </w:tr>
      <w:tr>
        <w:trPr>
          <w:trHeight w:val="102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804784</w:t>
            </w:r>
          </w:p>
        </w:tc>
      </w:tr>
      <w:tr>
        <w:trPr>
          <w:trHeight w:val="690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1035" w:hRule="atLeast"/>
        </w:trPr>
        <w:tc>
          <w:tcPr>
            <w:tcW w:w="126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49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  <w:bookmarkStart w:id="0" w:name="_GoBack"/>
            <w:bookmarkStart w:id="1" w:name="_GoBack"/>
            <w:bookmarkEnd w:id="1"/>
          </w:p>
        </w:tc>
        <w:tc>
          <w:tcPr>
            <w:tcW w:w="1523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804784</w:t>
            </w:r>
          </w:p>
        </w:tc>
      </w:tr>
    </w:tbl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spacing w:lineRule="auto" w:line="240" w:before="0" w:after="0"/>
        <w:rPr>
          <w:b/>
          <w:szCs w:val="22"/>
        </w:rPr>
      </w:pPr>
      <w:r>
        <w:rPr>
          <w:b/>
          <w:szCs w:val="22"/>
        </w:rPr>
      </w:r>
    </w:p>
    <w:sectPr>
      <w:headerReference w:type="even" r:id="rId8"/>
      <w:headerReference w:type="default" r:id="rId9"/>
      <w:headerReference w:type="first" r:id="rId10"/>
      <w:footerReference w:type="even" r:id="rId11"/>
      <w:footerReference w:type="default" r:id="rId12"/>
      <w:footerReference w:type="first" r:id="rId1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18</w:t>
    </w:r>
    <w:r>
      <w:rPr>
        <w:szCs w:val="22"/>
      </w:rPr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18</w:t>
    </w:r>
    <w:r>
      <w:rPr>
        <w:szCs w:val="22"/>
      </w:rPr>
      <w:fldChar w:fldCharType="end"/>
    </w:r>
  </w:p>
  <w:p>
    <w:pPr>
      <w:pStyle w:val="Footer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  <w:p>
    <w:pPr>
      <w:pStyle w:val="Footer"/>
      <w:rPr/>
    </w:pPr>
    <w:r>
      <w:rPr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  <w:t xml:space="preserve">                                                                                                     </w:t>
    </w:r>
  </w:p>
  <w:tbl>
    <w:tblPr>
      <w:tblW w:w="2840" w:type="dxa"/>
      <w:jc w:val="left"/>
      <w:tblInd w:w="544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711"/>
      <w:gridCol w:w="292"/>
      <w:gridCol w:w="240"/>
      <w:gridCol w:w="292"/>
      <w:gridCol w:w="241"/>
      <w:gridCol w:w="290"/>
      <w:gridCol w:w="242"/>
      <w:gridCol w:w="290"/>
      <w:gridCol w:w="241"/>
    </w:tblGrid>
    <w:tr>
      <w:trPr>
        <w:trHeight w:val="351" w:hRule="atLeast"/>
      </w:trPr>
      <w:tc>
        <w:tcPr>
          <w:tcW w:w="711" w:type="dxa"/>
          <w:tcBorders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</w:t>
          </w: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Normal"/>
      <w:rPr/>
    </w:pPr>
    <w:r>
      <w:rPr/>
    </w:r>
  </w:p>
  <w:tbl>
    <w:tblPr>
      <w:tblW w:w="8368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79"/>
      <w:gridCol w:w="2261"/>
      <w:gridCol w:w="451"/>
      <w:gridCol w:w="291"/>
      <w:gridCol w:w="279"/>
      <w:gridCol w:w="291"/>
      <w:gridCol w:w="281"/>
      <w:gridCol w:w="290"/>
      <w:gridCol w:w="291"/>
      <w:gridCol w:w="292"/>
      <w:gridCol w:w="279"/>
      <w:gridCol w:w="291"/>
      <w:gridCol w:w="291"/>
    </w:tblGrid>
    <w:tr>
      <w:trPr>
        <w:trHeight w:val="330" w:hRule="atLeast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  <w:t xml:space="preserve">                                                                                                     </w:t>
    </w:r>
  </w:p>
  <w:tbl>
    <w:tblPr>
      <w:tblW w:w="2840" w:type="dxa"/>
      <w:jc w:val="left"/>
      <w:tblInd w:w="544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711"/>
      <w:gridCol w:w="292"/>
      <w:gridCol w:w="240"/>
      <w:gridCol w:w="292"/>
      <w:gridCol w:w="241"/>
      <w:gridCol w:w="290"/>
      <w:gridCol w:w="242"/>
      <w:gridCol w:w="290"/>
      <w:gridCol w:w="241"/>
    </w:tblGrid>
    <w:tr>
      <w:trPr>
        <w:trHeight w:val="351" w:hRule="atLeast"/>
      </w:trPr>
      <w:tc>
        <w:tcPr>
          <w:tcW w:w="711" w:type="dxa"/>
          <w:tcBorders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</w:t>
          </w: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2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Normal"/>
      <w:rPr/>
    </w:pPr>
    <w:r>
      <w:rPr/>
    </w:r>
  </w:p>
  <w:tbl>
    <w:tblPr>
      <w:tblW w:w="8368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79"/>
      <w:gridCol w:w="2261"/>
      <w:gridCol w:w="451"/>
      <w:gridCol w:w="291"/>
      <w:gridCol w:w="279"/>
      <w:gridCol w:w="291"/>
      <w:gridCol w:w="281"/>
      <w:gridCol w:w="290"/>
      <w:gridCol w:w="291"/>
      <w:gridCol w:w="292"/>
      <w:gridCol w:w="279"/>
      <w:gridCol w:w="291"/>
      <w:gridCol w:w="291"/>
    </w:tblGrid>
    <w:tr>
      <w:trPr>
        <w:trHeight w:val="330" w:hRule="atLeast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>
    <w:pPr>
      <w:pStyle w:val="Header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16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6157cb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6157cb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uiPriority w:val="99"/>
    <w:qFormat/>
    <w:locked/>
    <w:rsid w:val="0003344f"/>
    <w:rPr>
      <w:rFonts w:eastAsia="Times New Roman"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uiPriority w:val="10"/>
    <w:qFormat/>
    <w:rsid w:val="006157cb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6157cb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uiPriority w:val="11"/>
    <w:qFormat/>
    <w:locked/>
    <w:rsid w:val="0003344f"/>
    <w:rPr>
      <w:rFonts w:ascii="Cambria" w:hAnsi="Cambria" w:cs="Times New Roman"/>
      <w:sz w:val="24"/>
      <w:szCs w:val="24"/>
    </w:rPr>
  </w:style>
  <w:style w:type="character" w:styleId="PodtitulChar1" w:customStyle="1">
    <w:name w:val="Podtitul Char1"/>
    <w:basedOn w:val="DefaultParagraphFont"/>
    <w:uiPriority w:val="11"/>
    <w:qFormat/>
    <w:rsid w:val="006157cb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6157cb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6157cb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6157cb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TextbublinyChar1" w:customStyle="1">
    <w:name w:val="Text bubliny Char1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6157cb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6157cb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6157cb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6157cb"/>
    <w:rPr>
      <w:rFonts w:ascii="Tahoma" w:hAnsi="Tahoma" w:cs="Tahoma"/>
      <w:sz w:val="16"/>
      <w:szCs w:val="16"/>
    </w:rPr>
  </w:style>
  <w:style w:type="character" w:styleId="ValueChar" w:customStyle="1">
    <w:name w:val="Value Char"/>
    <w:basedOn w:val="DefaultParagraphFont"/>
    <w:link w:val="Value"/>
    <w:qFormat/>
    <w:locked/>
    <w:rsid w:val="002a390f"/>
    <w:rPr>
      <w:rFonts w:cs="Times New Roman"/>
      <w:szCs w:val="2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Value" w:customStyle="1">
    <w:name w:val="Value"/>
    <w:basedOn w:val="Normal"/>
    <w:link w:val="ValueChar"/>
    <w:qFormat/>
    <w:rsid w:val="002a390f"/>
    <w:pPr>
      <w:spacing w:lineRule="auto" w:line="240" w:before="0" w:after="0"/>
      <w:jc w:val="right"/>
    </w:pPr>
    <w:rPr>
      <w:szCs w:val="24"/>
    </w:rPr>
  </w:style>
  <w:style w:type="paragraph" w:styleId="NoSpacing">
    <w:name w:val="No Spacing"/>
    <w:uiPriority w:val="1"/>
    <w:qFormat/>
    <w:rsid w:val="00b34428"/>
    <w:pPr>
      <w:widowControl/>
      <w:bidi w:val="0"/>
      <w:spacing w:lineRule="auto" w:line="240" w:before="0" w:after="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footer" Target="footer4.xml"/><Relationship Id="rId12" Type="http://schemas.openxmlformats.org/officeDocument/2006/relationships/footer" Target="footer5.xml"/><Relationship Id="rId13" Type="http://schemas.openxmlformats.org/officeDocument/2006/relationships/footer" Target="footer6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C8D478-8AB6-C74F-A9F6-B36190484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Application>LibreOffice/24.2.1.2$Windows_X86_64 LibreOffice_project/db4def46b0453cc22e2d0305797cf981b68ef5ac</Application>
  <AppVersion>15.0000</AppVersion>
  <Pages>35</Pages>
  <Words>4612</Words>
  <Characters>25406</Characters>
  <CharactersWithSpaces>29499</CharactersWithSpaces>
  <Paragraphs>1132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2024-03-13T18:53:00Z</dcterms:created>
  <dc:creator>Matulova Silvia</dc:creator>
  <dc:description/>
  <dc:language>sk-SK</dc:language>
  <cp:lastModifiedBy>Beata Grofova</cp:lastModifiedBy>
  <cp:lastPrinted>2022-03-01T13:28:00Z</cp:lastPrinted>
  <dcterms:modified xsi:type="dcterms:W3CDTF">2024-03-14T10:27:00Z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