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C39111" w14:textId="04D86B40" w:rsidR="007571BA" w:rsidRDefault="007571BA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7D973543" w14:textId="2CE34254" w:rsidR="003F7DAC" w:rsidRDefault="003F7DAC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25745514" w14:textId="7EE6FC01" w:rsidR="003F7DAC" w:rsidRDefault="003F7DAC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C833" w14:textId="41913FAA" w:rsidR="003F7DAC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K ÚČTOVNEJ ZÁVIERKE 202</w:t>
      </w:r>
      <w:r w:rsidR="00AE02FC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5A0FA17A" w14:textId="77777777" w:rsidR="00624E5F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Zostavené podľa Opatrenia č. MF/23378/2014-74 (FS č. 12/2014), ktorým sa ustanovujú podrobnosti o individuálnej účtovnej závierke a rozsahu údajov určených z</w:t>
      </w:r>
      <w:r w:rsidR="00624E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individuáln</w:t>
      </w:r>
      <w:r w:rsidR="00624E5F">
        <w:rPr>
          <w:rFonts w:ascii="Times New Roman" w:hAnsi="Times New Roman" w:cs="Times New Roman"/>
          <w:sz w:val="24"/>
          <w:szCs w:val="24"/>
        </w:rPr>
        <w:t xml:space="preserve">ej účtovnej závierky na zverejnenie </w:t>
      </w:r>
    </w:p>
    <w:p w14:paraId="3C8A7993" w14:textId="24B2B231" w:rsidR="003F7DAC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 malé účtovné jednotky</w:t>
      </w:r>
    </w:p>
    <w:p w14:paraId="766AD8B7" w14:textId="5C560E8F" w:rsidR="00624E5F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znení Opatrenia č. MF/19927/2015-74 (FS č. 12/2015) a opatrenia č. MF/14774/2017-74 (FS č. 16/2017)</w:t>
      </w:r>
    </w:p>
    <w:p w14:paraId="2C3A622A" w14:textId="31F4093B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0CF654" w14:textId="77777777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Čl. I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7A12F1B3" w14:textId="3C52EEE0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Všeobecné informácie</w:t>
      </w:r>
    </w:p>
    <w:p w14:paraId="54A2D2AD" w14:textId="23BF5A46" w:rsidR="00624E5F" w:rsidRPr="00CE6C91" w:rsidRDefault="00CE6C91" w:rsidP="00DE73B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E6C91">
        <w:rPr>
          <w:rFonts w:ascii="Times New Roman" w:hAnsi="Times New Roman" w:cs="Times New Roman"/>
          <w:sz w:val="24"/>
          <w:szCs w:val="24"/>
          <w:u w:val="single"/>
        </w:rPr>
        <w:t>Základné informácie o účtovnej jednotke:</w:t>
      </w:r>
    </w:p>
    <w:p w14:paraId="5AD686BB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PARTNER – 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vetagro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 spol. s 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r.o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53A9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821 04 Bratislava, Cesta na Senec 2/A</w:t>
      </w:r>
    </w:p>
    <w:p w14:paraId="221B4970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14:paraId="67A79DF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Zápis do obchodného registra: 8.2.1995</w:t>
      </w:r>
    </w:p>
    <w:p w14:paraId="3D9C57BD" w14:textId="77777777" w:rsidR="00C21CC2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Nešpecializovaný </w:t>
      </w:r>
      <w:r w:rsidR="00C21CC2">
        <w:rPr>
          <w:rFonts w:ascii="Times New Roman" w:hAnsi="Times New Roman" w:cs="Times New Roman"/>
          <w:sz w:val="24"/>
          <w:szCs w:val="24"/>
        </w:rPr>
        <w:t>veľkoobchod</w:t>
      </w:r>
    </w:p>
    <w:p w14:paraId="1A693A02" w14:textId="7DA5600A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Subjekt verejného záujmu: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nie je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9CC79C0" w14:textId="77777777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subjektom verejného </w:t>
      </w:r>
      <w:r w:rsidR="00CE6C9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záujmu (§ 2/14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469397F0" w14:textId="61B868B0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Kalendárny rok 202</w:t>
      </w:r>
      <w:r w:rsidR="00AE02FC">
        <w:rPr>
          <w:rFonts w:ascii="Times New Roman" w:hAnsi="Times New Roman" w:cs="Times New Roman"/>
          <w:sz w:val="24"/>
          <w:szCs w:val="24"/>
        </w:rPr>
        <w:t>3</w:t>
      </w:r>
    </w:p>
    <w:p w14:paraId="45DC4F27" w14:textId="7DD2D3AD" w:rsidR="00DE73B0" w:rsidRPr="00DE73B0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E73B0">
        <w:rPr>
          <w:rFonts w:ascii="Times New Roman" w:hAnsi="Times New Roman" w:cs="Times New Roman"/>
          <w:sz w:val="24"/>
          <w:szCs w:val="24"/>
          <w:u w:val="single"/>
        </w:rPr>
        <w:t>Test veľkostnej skupiny účtovnej jednotky (2ZoU)</w:t>
      </w:r>
    </w:p>
    <w:p w14:paraId="159A977A" w14:textId="35FEA0BB" w:rsidR="00C21CC2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</w:t>
      </w:r>
      <w:r w:rsidR="00213234">
        <w:rPr>
          <w:rFonts w:ascii="Times New Roman" w:hAnsi="Times New Roman" w:cs="Times New Roman"/>
          <w:sz w:val="24"/>
          <w:szCs w:val="24"/>
        </w:rPr>
        <w:t xml:space="preserve"> obdobia presiahol 10, ale nepresiahol 50).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13234" w14:paraId="7DFB56FB" w14:textId="77777777" w:rsidTr="00213234">
        <w:tc>
          <w:tcPr>
            <w:tcW w:w="2265" w:type="dxa"/>
          </w:tcPr>
          <w:p w14:paraId="4A3DE723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0370EE1" w14:textId="32C853A6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265" w:type="dxa"/>
          </w:tcPr>
          <w:p w14:paraId="793EBB2D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B42AF85" w14:textId="43D90FC4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266" w:type="dxa"/>
          </w:tcPr>
          <w:p w14:paraId="08545CBC" w14:textId="758A7C0D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2266" w:type="dxa"/>
          </w:tcPr>
          <w:p w14:paraId="63D24E6C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7763C7D" w14:textId="769F998B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Áno/Nie</w:t>
            </w:r>
          </w:p>
        </w:tc>
      </w:tr>
      <w:tr w:rsidR="00213234" w14:paraId="38927F47" w14:textId="77777777" w:rsidTr="00213234">
        <w:tc>
          <w:tcPr>
            <w:tcW w:w="2265" w:type="dxa"/>
          </w:tcPr>
          <w:p w14:paraId="2E44D7A4" w14:textId="1A45853F" w:rsidR="00213234" w:rsidRPr="00F63078" w:rsidRDefault="00F63078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aktíva celkom</w:t>
            </w:r>
          </w:p>
        </w:tc>
        <w:tc>
          <w:tcPr>
            <w:tcW w:w="2265" w:type="dxa"/>
          </w:tcPr>
          <w:p w14:paraId="22117D2E" w14:textId="669C328F" w:rsidR="00213234" w:rsidRDefault="008D30B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145</w:t>
            </w:r>
            <w:r w:rsidR="00AE02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8903</w:t>
            </w:r>
          </w:p>
        </w:tc>
        <w:tc>
          <w:tcPr>
            <w:tcW w:w="2266" w:type="dxa"/>
          </w:tcPr>
          <w:p w14:paraId="13FC15F2" w14:textId="4B34F305" w:rsidR="00213234" w:rsidRDefault="008D30B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AE02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450431</w:t>
            </w:r>
          </w:p>
        </w:tc>
        <w:tc>
          <w:tcPr>
            <w:tcW w:w="2266" w:type="dxa"/>
          </w:tcPr>
          <w:p w14:paraId="48E29C49" w14:textId="77777777" w:rsidR="00213234" w:rsidRDefault="0021323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30B4" w14:paraId="41F0320B" w14:textId="77777777" w:rsidTr="00213234">
        <w:tc>
          <w:tcPr>
            <w:tcW w:w="2265" w:type="dxa"/>
          </w:tcPr>
          <w:p w14:paraId="672989B4" w14:textId="6C4C621B" w:rsidR="008D30B4" w:rsidRPr="00F63078" w:rsidRDefault="008D30B4" w:rsidP="008D3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Čistý obrat celkom</w:t>
            </w:r>
          </w:p>
        </w:tc>
        <w:tc>
          <w:tcPr>
            <w:tcW w:w="2265" w:type="dxa"/>
          </w:tcPr>
          <w:p w14:paraId="3F94A019" w14:textId="2A04A4E2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="00AE02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753848</w:t>
            </w:r>
          </w:p>
        </w:tc>
        <w:tc>
          <w:tcPr>
            <w:tcW w:w="2266" w:type="dxa"/>
          </w:tcPr>
          <w:p w14:paraId="43CEB387" w14:textId="5C671D75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="00AE02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357623</w:t>
            </w:r>
          </w:p>
        </w:tc>
        <w:tc>
          <w:tcPr>
            <w:tcW w:w="2266" w:type="dxa"/>
          </w:tcPr>
          <w:p w14:paraId="6BCA10B7" w14:textId="77777777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30B4" w14:paraId="6131418A" w14:textId="77777777" w:rsidTr="00213234">
        <w:tc>
          <w:tcPr>
            <w:tcW w:w="2265" w:type="dxa"/>
          </w:tcPr>
          <w:p w14:paraId="36BCA9B0" w14:textId="58E11A6D" w:rsidR="008D30B4" w:rsidRPr="00F63078" w:rsidRDefault="008D30B4" w:rsidP="008D3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zamestnancov</w:t>
            </w:r>
          </w:p>
        </w:tc>
        <w:tc>
          <w:tcPr>
            <w:tcW w:w="2265" w:type="dxa"/>
          </w:tcPr>
          <w:p w14:paraId="7EC688AB" w14:textId="4C3C6EDA" w:rsidR="008D30B4" w:rsidRDefault="00A25E65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266" w:type="dxa"/>
          </w:tcPr>
          <w:p w14:paraId="73AF166C" w14:textId="3EB88DB6" w:rsidR="008D30B4" w:rsidRDefault="00AE02FC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  <w:p w14:paraId="4BE94D8A" w14:textId="77777777" w:rsidR="008D30B4" w:rsidRDefault="008D30B4" w:rsidP="008D30B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176101E" w14:textId="1EFC30D0" w:rsidR="008D30B4" w:rsidRPr="00D649EC" w:rsidRDefault="008D30B4" w:rsidP="008D3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49551C73" w14:textId="77777777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468F117" w14:textId="4E535F9F" w:rsidR="00213234" w:rsidRDefault="00F63078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>: UJ spĺňa</w:t>
      </w:r>
      <w:r w:rsidR="00817FE9">
        <w:rPr>
          <w:rFonts w:ascii="Times New Roman" w:hAnsi="Times New Roman" w:cs="Times New Roman"/>
          <w:sz w:val="24"/>
          <w:szCs w:val="24"/>
        </w:rPr>
        <w:t xml:space="preserve"> veľkostné podmienky na zatriedenie do veľ</w:t>
      </w:r>
      <w:r w:rsidR="00A25E65">
        <w:rPr>
          <w:rFonts w:ascii="Times New Roman" w:hAnsi="Times New Roman" w:cs="Times New Roman"/>
          <w:sz w:val="24"/>
          <w:szCs w:val="24"/>
        </w:rPr>
        <w:t>k</w:t>
      </w:r>
      <w:r w:rsidR="00817FE9">
        <w:rPr>
          <w:rFonts w:ascii="Times New Roman" w:hAnsi="Times New Roman" w:cs="Times New Roman"/>
          <w:sz w:val="24"/>
          <w:szCs w:val="24"/>
        </w:rPr>
        <w:t xml:space="preserve">ostnej skupiny – </w:t>
      </w:r>
      <w:r w:rsidR="00817FE9">
        <w:rPr>
          <w:rFonts w:ascii="Times New Roman" w:hAnsi="Times New Roman" w:cs="Times New Roman"/>
          <w:b/>
          <w:bCs/>
          <w:sz w:val="24"/>
          <w:szCs w:val="24"/>
        </w:rPr>
        <w:t>malá účtovná jednotka</w:t>
      </w:r>
      <w:r w:rsidR="00817FE9">
        <w:rPr>
          <w:rFonts w:ascii="Times New Roman" w:hAnsi="Times New Roman" w:cs="Times New Roman"/>
          <w:sz w:val="24"/>
          <w:szCs w:val="24"/>
        </w:rPr>
        <w:t>, preto zostavuje účtovnú závierku podľa metodiky pre túto veľkostnú skupinu (Opatrenie č. MF/23378/2014-74 v znení neskorších predpisov).</w:t>
      </w:r>
    </w:p>
    <w:p w14:paraId="1064F7D6" w14:textId="56D73474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>2)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 xml:space="preserve"> Dátum schválenia účtovnej závierky</w:t>
      </w:r>
      <w:r w:rsidRPr="00817FE9">
        <w:rPr>
          <w:rFonts w:ascii="Times New Roman" w:hAnsi="Times New Roman" w:cs="Times New Roman"/>
          <w:sz w:val="24"/>
          <w:szCs w:val="24"/>
        </w:rPr>
        <w:t xml:space="preserve"> za bezprostredne predchádzajúce účtovné obdobie príslušným orgánom účtovnej jednotky</w:t>
      </w:r>
      <w:r>
        <w:rPr>
          <w:rFonts w:ascii="Times New Roman" w:hAnsi="Times New Roman" w:cs="Times New Roman"/>
          <w:sz w:val="24"/>
          <w:szCs w:val="24"/>
        </w:rPr>
        <w:t>: 14.03.202</w:t>
      </w:r>
      <w:r w:rsidR="00A25E65">
        <w:rPr>
          <w:rFonts w:ascii="Times New Roman" w:hAnsi="Times New Roman" w:cs="Times New Roman"/>
          <w:sz w:val="24"/>
          <w:szCs w:val="24"/>
        </w:rPr>
        <w:t>2</w:t>
      </w:r>
    </w:p>
    <w:p w14:paraId="0DF99D9E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348A3" w14:textId="4E6E304E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 xml:space="preserve">3) 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>Právny dôvod</w:t>
      </w:r>
      <w:r w:rsidRPr="00817FE9">
        <w:rPr>
          <w:rFonts w:ascii="Times New Roman" w:hAnsi="Times New Roman" w:cs="Times New Roman"/>
          <w:sz w:val="24"/>
          <w:szCs w:val="24"/>
        </w:rPr>
        <w:t xml:space="preserve"> na zostavenie účtovnej závierky</w:t>
      </w:r>
      <w:r>
        <w:rPr>
          <w:rFonts w:ascii="Times New Roman" w:hAnsi="Times New Roman" w:cs="Times New Roman"/>
          <w:sz w:val="24"/>
          <w:szCs w:val="24"/>
        </w:rPr>
        <w:t xml:space="preserve">: 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>. zostavuje riadnu</w:t>
      </w:r>
      <w:r w:rsidR="00A80C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UZ</w:t>
      </w:r>
      <w:r w:rsidR="00A80CBE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A25E65">
        <w:rPr>
          <w:rFonts w:ascii="Times New Roman" w:hAnsi="Times New Roman" w:cs="Times New Roman"/>
          <w:sz w:val="24"/>
          <w:szCs w:val="24"/>
        </w:rPr>
        <w:t>3</w:t>
      </w:r>
      <w:r w:rsidR="00A80CBE">
        <w:rPr>
          <w:rFonts w:ascii="Times New Roman" w:hAnsi="Times New Roman" w:cs="Times New Roman"/>
          <w:sz w:val="24"/>
          <w:szCs w:val="24"/>
        </w:rPr>
        <w:t xml:space="preserve"> za predpokladu nepretržitého pokračovania činnosti.</w:t>
      </w:r>
    </w:p>
    <w:p w14:paraId="45E041A3" w14:textId="4742E74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3A0AD8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4)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Údaje o skupine</w:t>
      </w:r>
      <w:r w:rsidRPr="00A80CBE">
        <w:rPr>
          <w:rFonts w:ascii="Times New Roman" w:hAnsi="Times New Roman" w:cs="Times New Roman"/>
          <w:sz w:val="24"/>
          <w:szCs w:val="24"/>
        </w:rPr>
        <w:t xml:space="preserve"> účtovných jednotiek</w:t>
      </w:r>
      <w:r>
        <w:rPr>
          <w:rFonts w:ascii="Times New Roman" w:hAnsi="Times New Roman" w:cs="Times New Roman"/>
          <w:sz w:val="24"/>
          <w:szCs w:val="24"/>
        </w:rPr>
        <w:t xml:space="preserve"> v súvislosti </w:t>
      </w:r>
      <w:r>
        <w:rPr>
          <w:rFonts w:ascii="Times New Roman" w:hAnsi="Times New Roman" w:cs="Times New Roman"/>
          <w:b/>
          <w:bCs/>
          <w:sz w:val="24"/>
          <w:szCs w:val="24"/>
        </w:rPr>
        <w:t>s konsolidáciou:</w:t>
      </w:r>
    </w:p>
    <w:p w14:paraId="2F7C3287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a)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najväčšiu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(najvyšší stupeň konsolidácie):</w:t>
      </w:r>
    </w:p>
    <w:p w14:paraId="777B152C" w14:textId="77777777" w:rsidR="00711D8B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 b)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najmenšiu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(bezprostredne vyšší stupeň konsolidácie)</w:t>
      </w:r>
      <w:r w:rsidRPr="00A80CBE">
        <w:rPr>
          <w:rFonts w:ascii="Times New Roman" w:hAnsi="Times New Roman" w:cs="Times New Roman"/>
          <w:sz w:val="24"/>
          <w:szCs w:val="24"/>
        </w:rPr>
        <w:t xml:space="preserve">, a ktorá je tiež začlenená do skupiny účtovných jednotiek </w:t>
      </w:r>
      <w:r w:rsidR="00711D8B">
        <w:rPr>
          <w:rFonts w:ascii="Times New Roman" w:hAnsi="Times New Roman" w:cs="Times New Roman"/>
          <w:sz w:val="24"/>
          <w:szCs w:val="24"/>
        </w:rPr>
        <w:t>na najvyššom stupni konsolidácie:</w:t>
      </w:r>
    </w:p>
    <w:p w14:paraId="6CAF5932" w14:textId="6B9EBCC4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c) </w:t>
      </w:r>
      <w:r w:rsidR="00711D8B">
        <w:rPr>
          <w:rFonts w:ascii="Times New Roman" w:hAnsi="Times New Roman" w:cs="Times New Roman"/>
          <w:sz w:val="24"/>
          <w:szCs w:val="24"/>
        </w:rPr>
        <w:t>A</w:t>
      </w:r>
      <w:r w:rsidRPr="00A80CBE">
        <w:rPr>
          <w:rFonts w:ascii="Times New Roman" w:hAnsi="Times New Roman" w:cs="Times New Roman"/>
          <w:sz w:val="24"/>
          <w:szCs w:val="24"/>
        </w:rPr>
        <w:t>dresa, kde sa môže vyžiadať kópia</w:t>
      </w:r>
      <w:r w:rsidR="00711D8B">
        <w:rPr>
          <w:rFonts w:ascii="Times New Roman" w:hAnsi="Times New Roman" w:cs="Times New Roman"/>
          <w:sz w:val="24"/>
          <w:szCs w:val="24"/>
        </w:rPr>
        <w:t xml:space="preserve"> vyššie uvedených 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konsolidovaných účtovných závierok</w:t>
      </w:r>
      <w:r w:rsidR="00711D8B">
        <w:rPr>
          <w:rFonts w:ascii="Times New Roman" w:hAnsi="Times New Roman" w:cs="Times New Roman"/>
          <w:sz w:val="24"/>
          <w:szCs w:val="24"/>
        </w:rPr>
        <w:t>:</w:t>
      </w:r>
    </w:p>
    <w:p w14:paraId="0B5DE247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1D8B">
        <w:rPr>
          <w:rFonts w:ascii="Times New Roman" w:hAnsi="Times New Roman" w:cs="Times New Roman"/>
          <w:sz w:val="24"/>
          <w:szCs w:val="24"/>
        </w:rPr>
        <w:t xml:space="preserve">daj, či účtovná jednotka je materskou účtovnou jednotkou a údaj, či je oslobodená od povinnosti zostaviť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a konsolidovanú výročnú správu podľa § 22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>, pričom sa uvádzajú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F23ED71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1. pri oslobodení podľa § 22 ods. 8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materskej účtovnej jednotky zostavujúcej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podľa osobitných predpisov</w:t>
      </w:r>
      <w:r>
        <w:rPr>
          <w:rFonts w:ascii="Times New Roman" w:hAnsi="Times New Roman" w:cs="Times New Roman"/>
          <w:sz w:val="24"/>
          <w:szCs w:val="24"/>
        </w:rPr>
        <w:t xml:space="preserve"> (IFRS/EÚ)</w:t>
      </w:r>
    </w:p>
    <w:p w14:paraId="43BC9AD9" w14:textId="372E213E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2. pri oslobodení podľa § 22 ods. 10 a 12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dcérskych účtovných jednotiek.</w:t>
      </w:r>
    </w:p>
    <w:p w14:paraId="7FBE1F30" w14:textId="3BBF6235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276924" w14:textId="17132FB0" w:rsidR="00711D8B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53CD5">
        <w:rPr>
          <w:rFonts w:ascii="Times New Roman" w:hAnsi="Times New Roman" w:cs="Times New Roman"/>
          <w:sz w:val="24"/>
          <w:szCs w:val="24"/>
        </w:rPr>
        <w:t xml:space="preserve">) </w:t>
      </w:r>
      <w:r w:rsidRPr="00C53CD5">
        <w:rPr>
          <w:rFonts w:ascii="Times New Roman" w:hAnsi="Times New Roman" w:cs="Times New Roman"/>
          <w:sz w:val="24"/>
          <w:szCs w:val="24"/>
          <w:u w:val="single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53CD5" w14:paraId="637B1684" w14:textId="77777777" w:rsidTr="00C53CD5">
        <w:tc>
          <w:tcPr>
            <w:tcW w:w="3020" w:type="dxa"/>
          </w:tcPr>
          <w:p w14:paraId="437085B3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65B857" w14:textId="6476FA63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1DFF0FEF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5DCF3A" w14:textId="4EC606C8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DE3B3F2" w14:textId="7D168847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C53CD5" w14:paraId="08E71F29" w14:textId="77777777" w:rsidTr="00C53CD5">
        <w:tc>
          <w:tcPr>
            <w:tcW w:w="3020" w:type="dxa"/>
          </w:tcPr>
          <w:p w14:paraId="041BAA5C" w14:textId="0044A89B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3021" w:type="dxa"/>
          </w:tcPr>
          <w:p w14:paraId="34634E2F" w14:textId="5D96199C" w:rsidR="00C53CD5" w:rsidRDefault="00A25E6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21" w:type="dxa"/>
          </w:tcPr>
          <w:p w14:paraId="60BB34D8" w14:textId="09FA800C" w:rsidR="00C53CD5" w:rsidRDefault="00A25E6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14:paraId="5619322D" w14:textId="6BC749B5" w:rsidR="00C53CD5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DD7F5" w14:textId="77777777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 xml:space="preserve">Čl. II </w:t>
      </w:r>
    </w:p>
    <w:p w14:paraId="57639931" w14:textId="1E87417A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>Informácie o orgánoch spoločnosti</w:t>
      </w:r>
    </w:p>
    <w:p w14:paraId="45E7BA37" w14:textId="21D96B26" w:rsidR="003556EA" w:rsidRDefault="003556E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56EA">
        <w:rPr>
          <w:rFonts w:ascii="Times New Roman" w:hAnsi="Times New Roman" w:cs="Times New Roman"/>
          <w:b/>
          <w:bCs/>
          <w:sz w:val="24"/>
          <w:szCs w:val="24"/>
          <w:u w:val="single"/>
        </w:rPr>
        <w:t>Informácie o orgánoch účtovnej jednotky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-</w:t>
      </w:r>
      <w:r w:rsidRPr="003556EA">
        <w:rPr>
          <w:rFonts w:ascii="Times New Roman" w:hAnsi="Times New Roman" w:cs="Times New Roman"/>
          <w:sz w:val="24"/>
          <w:szCs w:val="24"/>
        </w:rPr>
        <w:t xml:space="preserve"> štatutárneho orgánu, dozorného orgánu a iného orgánu účtovnej jednotky</w:t>
      </w:r>
      <w:r>
        <w:rPr>
          <w:rFonts w:ascii="Times New Roman" w:hAnsi="Times New Roman" w:cs="Times New Roman"/>
          <w:sz w:val="24"/>
          <w:szCs w:val="24"/>
        </w:rPr>
        <w:t xml:space="preserve">, pričom sa uvádzajú najmä informácie – o podmienkach a výške jednotlivých druhov záruk alebo iných zabezpečení, o pôžičkách a ich podmienkach (výška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úrokov, celková suma pôžičky, suma splatenej pôžičky, suma odpustenej pôžičky), o použití majetku účtovnej jednotky na súkromné účely, v členení na jednotlivé orgány (informácie </w:t>
      </w:r>
      <w:r w:rsidR="00D1429E">
        <w:rPr>
          <w:rFonts w:ascii="Times New Roman" w:hAnsi="Times New Roman" w:cs="Times New Roman"/>
          <w:sz w:val="24"/>
          <w:szCs w:val="24"/>
        </w:rPr>
        <w:t>sa neuvádzajú vtedy, ak by umožnili identifikáciu finančnej situácie konkrétnej fyzickej osoby):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1429E" w14:paraId="2139DE8B" w14:textId="77777777" w:rsidTr="00D1429E">
        <w:tc>
          <w:tcPr>
            <w:tcW w:w="3020" w:type="dxa"/>
          </w:tcPr>
          <w:p w14:paraId="2BF8155C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D8C24DB" w14:textId="395C7B6F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Orgány účtovnej jednotky</w:t>
            </w:r>
          </w:p>
        </w:tc>
        <w:tc>
          <w:tcPr>
            <w:tcW w:w="3021" w:type="dxa"/>
          </w:tcPr>
          <w:p w14:paraId="3FD814AB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6EA912" w14:textId="67584190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4458E444" w14:textId="0F7C9493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1429E" w14:paraId="27FCEB2E" w14:textId="77777777" w:rsidTr="00D1429E">
        <w:tc>
          <w:tcPr>
            <w:tcW w:w="3020" w:type="dxa"/>
          </w:tcPr>
          <w:p w14:paraId="441B4C2B" w14:textId="79DE325E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Štatutárny orgán</w:t>
            </w:r>
          </w:p>
        </w:tc>
        <w:tc>
          <w:tcPr>
            <w:tcW w:w="3021" w:type="dxa"/>
          </w:tcPr>
          <w:p w14:paraId="6645E70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22BC2C51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5A8801D7" w14:textId="77777777" w:rsidTr="00D1429E">
        <w:tc>
          <w:tcPr>
            <w:tcW w:w="3020" w:type="dxa"/>
          </w:tcPr>
          <w:p w14:paraId="2CD70FB1" w14:textId="2C2C14C4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Ing. Marián Uhrík konateľ, Ing. Peter Uhrík konateľ, Ing. Jozef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Nociar</w:t>
            </w:r>
            <w:proofErr w:type="spellEnd"/>
          </w:p>
        </w:tc>
        <w:tc>
          <w:tcPr>
            <w:tcW w:w="3021" w:type="dxa"/>
          </w:tcPr>
          <w:p w14:paraId="5181B3D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7DC53C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0A2C767B" w14:textId="77777777" w:rsidTr="00D1429E">
        <w:tc>
          <w:tcPr>
            <w:tcW w:w="3020" w:type="dxa"/>
          </w:tcPr>
          <w:p w14:paraId="2EBB86A0" w14:textId="0DAA9B34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Dozorný orgán</w:t>
            </w:r>
          </w:p>
        </w:tc>
        <w:tc>
          <w:tcPr>
            <w:tcW w:w="3021" w:type="dxa"/>
          </w:tcPr>
          <w:p w14:paraId="6B2862B7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07600856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6F874079" w14:textId="77777777" w:rsidTr="00D1429E">
        <w:tc>
          <w:tcPr>
            <w:tcW w:w="3020" w:type="dxa"/>
          </w:tcPr>
          <w:p w14:paraId="66C9F8BD" w14:textId="2D46B759" w:rsidR="00D1429E" w:rsidRPr="00D1429E" w:rsidRDefault="00D1429E" w:rsidP="00D14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1429E">
              <w:rPr>
                <w:rFonts w:ascii="Times New Roman" w:hAnsi="Times New Roman" w:cs="Times New Roman"/>
                <w:sz w:val="24"/>
                <w:szCs w:val="24"/>
              </w:rPr>
              <w:t>Druh príjmu (výhody)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021" w:type="dxa"/>
          </w:tcPr>
          <w:p w14:paraId="6D58635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E8FEE3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D36137" w14:textId="77777777" w:rsidTr="00D1429E">
        <w:tc>
          <w:tcPr>
            <w:tcW w:w="3020" w:type="dxa"/>
          </w:tcPr>
          <w:p w14:paraId="32C16575" w14:textId="38C53205" w:rsidR="00D1429E" w:rsidRDefault="00D1429E" w:rsidP="00D142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Iný orgán účtovnej jednotky</w:t>
            </w:r>
          </w:p>
        </w:tc>
        <w:tc>
          <w:tcPr>
            <w:tcW w:w="3021" w:type="dxa"/>
          </w:tcPr>
          <w:p w14:paraId="405E0AF4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D6F71F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AAAAD2" w14:textId="77777777" w:rsidTr="00D1429E">
        <w:tc>
          <w:tcPr>
            <w:tcW w:w="3020" w:type="dxa"/>
          </w:tcPr>
          <w:p w14:paraId="374545AF" w14:textId="55DBA02A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príjmu (výhody):</w:t>
            </w:r>
          </w:p>
        </w:tc>
        <w:tc>
          <w:tcPr>
            <w:tcW w:w="3021" w:type="dxa"/>
          </w:tcPr>
          <w:p w14:paraId="778F2815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4A01A1D8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CF054C4" w14:textId="659C5A3A" w:rsidR="00D1429E" w:rsidRDefault="00D1429E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38262F" w14:textId="77777777" w:rsid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 xml:space="preserve">Čl. III </w:t>
      </w:r>
    </w:p>
    <w:p w14:paraId="19BBE9FB" w14:textId="4498566B" w:rsidR="00007D5D" w:rsidRP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>Informácie o prijatých postupoch</w:t>
      </w:r>
    </w:p>
    <w:p w14:paraId="350CBFC3" w14:textId="77777777" w:rsidR="00007D5D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1) Informácia, či je účtovná závierka zostavená za splnenia predpokladu, že účtovná jednotka bude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nepretržite pokračovať</w:t>
      </w:r>
      <w:r w:rsidRPr="00007D5D">
        <w:rPr>
          <w:rFonts w:ascii="Times New Roman" w:hAnsi="Times New Roman" w:cs="Times New Roman"/>
          <w:sz w:val="24"/>
          <w:szCs w:val="24"/>
        </w:rPr>
        <w:t xml:space="preserve"> vo svojej činnosti</w:t>
      </w:r>
      <w:r>
        <w:rPr>
          <w:rFonts w:ascii="Times New Roman" w:hAnsi="Times New Roman" w:cs="Times New Roman"/>
          <w:sz w:val="24"/>
          <w:szCs w:val="24"/>
        </w:rPr>
        <w:t xml:space="preserve"> minimálne 12 mesiacov po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dni v zmysle</w:t>
      </w:r>
      <w:r w:rsidRPr="00007D5D">
        <w:rPr>
          <w:rFonts w:ascii="Times New Roman" w:hAnsi="Times New Roman" w:cs="Times New Roman"/>
          <w:sz w:val="24"/>
          <w:szCs w:val="24"/>
        </w:rPr>
        <w:t xml:space="preserve"> § 7 ods. 4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007D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Ak by tento predpoklad nebol splnený, uvedie sa aj dopad do účtovnej závierky (napr. zrušenie dlhodobých rezerv):</w:t>
      </w:r>
    </w:p>
    <w:p w14:paraId="1EECBEF3" w14:textId="77777777" w:rsidR="0046388A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2) Informácia o aplikácií účtovných zásad a účtovných metód, ktoré sú dôležité na posúdenie majetku, záväzkov, finančnej situácie a výsledku hospodárenia. Informácia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o zmenách účtovných zásad a zmenách účtovných metód</w:t>
      </w:r>
      <w:r w:rsidRPr="00007D5D">
        <w:rPr>
          <w:rFonts w:ascii="Times New Roman" w:hAnsi="Times New Roman" w:cs="Times New Roman"/>
          <w:sz w:val="24"/>
          <w:szCs w:val="24"/>
        </w:rPr>
        <w:t xml:space="preserve">, a to s uvedením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dôvodu</w:t>
      </w:r>
      <w:r w:rsidRPr="00007D5D">
        <w:rPr>
          <w:rFonts w:ascii="Times New Roman" w:hAnsi="Times New Roman" w:cs="Times New Roman"/>
          <w:sz w:val="24"/>
          <w:szCs w:val="24"/>
        </w:rPr>
        <w:t xml:space="preserve"> ich uplatnenia a ich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vplyvu na hodnotu</w:t>
      </w:r>
      <w:r w:rsidRPr="00007D5D">
        <w:rPr>
          <w:rFonts w:ascii="Times New Roman" w:hAnsi="Times New Roman" w:cs="Times New Roman"/>
          <w:sz w:val="24"/>
          <w:szCs w:val="24"/>
        </w:rPr>
        <w:t xml:space="preserve">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</w:t>
      </w:r>
      <w:r w:rsidR="0046388A">
        <w:rPr>
          <w:rFonts w:ascii="Times New Roman" w:hAnsi="Times New Roman" w:cs="Times New Roman"/>
          <w:sz w:val="24"/>
          <w:szCs w:val="24"/>
        </w:rPr>
        <w:t>:</w:t>
      </w:r>
    </w:p>
    <w:p w14:paraId="3A3E3D49" w14:textId="77DFD74C" w:rsidR="00D1429E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3) Informácia o charaktere a účele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transakcií, ktoré sa neuvádzajú v súvahe</w:t>
      </w:r>
      <w:r w:rsidRPr="00007D5D">
        <w:rPr>
          <w:rFonts w:ascii="Times New Roman" w:hAnsi="Times New Roman" w:cs="Times New Roman"/>
          <w:sz w:val="24"/>
          <w:szCs w:val="24"/>
        </w:rPr>
        <w:t>, 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  <w:r w:rsidR="0046388A">
        <w:rPr>
          <w:rFonts w:ascii="Times New Roman" w:hAnsi="Times New Roman" w:cs="Times New Roman"/>
          <w:sz w:val="24"/>
          <w:szCs w:val="24"/>
        </w:rPr>
        <w:t xml:space="preserve"> (napríklad súdne spory, zmluvy, časovo limitované licencie a oprávnenia, podnikové kombinácie, záväzky investovať, dopad legislatívy, celkový pokles v hospodárskom segmente):</w:t>
      </w:r>
    </w:p>
    <w:p w14:paraId="64EB5AF2" w14:textId="77777777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4)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Spôsob a určenie ocenenia</w:t>
      </w:r>
      <w:r w:rsidRPr="0046388A">
        <w:rPr>
          <w:rFonts w:ascii="Times New Roman" w:hAnsi="Times New Roman" w:cs="Times New Roman"/>
          <w:sz w:val="24"/>
          <w:szCs w:val="24"/>
        </w:rPr>
        <w:t xml:space="preserve"> majetku a záväzkov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46388A">
        <w:rPr>
          <w:rFonts w:ascii="Times New Roman" w:hAnsi="Times New Roman" w:cs="Times New Roman"/>
          <w:sz w:val="24"/>
          <w:szCs w:val="24"/>
        </w:rPr>
        <w:t>vrátane  rozhodujúcich účtovných odhadov</w:t>
      </w:r>
      <w:r>
        <w:rPr>
          <w:rFonts w:ascii="Times New Roman" w:hAnsi="Times New Roman" w:cs="Times New Roman"/>
          <w:sz w:val="24"/>
          <w:szCs w:val="24"/>
        </w:rPr>
        <w:t>):</w:t>
      </w:r>
    </w:p>
    <w:p w14:paraId="5607DF0A" w14:textId="77777777" w:rsidR="00F50031" w:rsidRDefault="00F50031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5812"/>
        <w:gridCol w:w="2404"/>
      </w:tblGrid>
      <w:tr w:rsidR="00F50031" w14:paraId="728AF2CE" w14:textId="77777777" w:rsidTr="00746E35">
        <w:tc>
          <w:tcPr>
            <w:tcW w:w="846" w:type="dxa"/>
          </w:tcPr>
          <w:p w14:paraId="27E71FC9" w14:textId="6211C743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Č.</w:t>
            </w:r>
          </w:p>
        </w:tc>
        <w:tc>
          <w:tcPr>
            <w:tcW w:w="5812" w:type="dxa"/>
          </w:tcPr>
          <w:p w14:paraId="68BB363D" w14:textId="490EBF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04" w:type="dxa"/>
          </w:tcPr>
          <w:p w14:paraId="711CA24A" w14:textId="55C6D7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F50031" w14:paraId="55D55F71" w14:textId="77777777" w:rsidTr="00746E35">
        <w:tc>
          <w:tcPr>
            <w:tcW w:w="846" w:type="dxa"/>
          </w:tcPr>
          <w:p w14:paraId="5791C7D7" w14:textId="1F720162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2" w:type="dxa"/>
          </w:tcPr>
          <w:p w14:paraId="0EAC5874" w14:textId="2143355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externe kúpený</w:t>
            </w:r>
          </w:p>
        </w:tc>
        <w:tc>
          <w:tcPr>
            <w:tcW w:w="2404" w:type="dxa"/>
          </w:tcPr>
          <w:p w14:paraId="04CA0959" w14:textId="0C7C96FA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F50031" w14:paraId="6F0C927B" w14:textId="77777777" w:rsidTr="00746E35">
        <w:tc>
          <w:tcPr>
            <w:tcW w:w="846" w:type="dxa"/>
          </w:tcPr>
          <w:p w14:paraId="75BB5028" w14:textId="1E8475FC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2" w:type="dxa"/>
          </w:tcPr>
          <w:p w14:paraId="2DFF1421" w14:textId="4C06CA83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interne tvorený</w:t>
            </w:r>
          </w:p>
        </w:tc>
        <w:tc>
          <w:tcPr>
            <w:tcW w:w="2404" w:type="dxa"/>
          </w:tcPr>
          <w:p w14:paraId="2DB40ABC" w14:textId="68C095D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F50031" w14:paraId="31E2F087" w14:textId="77777777" w:rsidTr="00746E35">
        <w:tc>
          <w:tcPr>
            <w:tcW w:w="846" w:type="dxa"/>
          </w:tcPr>
          <w:p w14:paraId="505C5DC3" w14:textId="067643F5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</w:tcPr>
          <w:p w14:paraId="0285DD08" w14:textId="668F7895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obstaraný inak (darom)</w:t>
            </w:r>
          </w:p>
        </w:tc>
        <w:tc>
          <w:tcPr>
            <w:tcW w:w="2404" w:type="dxa"/>
          </w:tcPr>
          <w:p w14:paraId="647D318E" w14:textId="457B736E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F50031" w14:paraId="12C28D45" w14:textId="77777777" w:rsidTr="00746E35">
        <w:tc>
          <w:tcPr>
            <w:tcW w:w="846" w:type="dxa"/>
          </w:tcPr>
          <w:p w14:paraId="6A3230A6" w14:textId="31BB965F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2" w:type="dxa"/>
          </w:tcPr>
          <w:p w14:paraId="228146B2" w14:textId="4E8B6D6C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  <w:r w:rsidR="00497E76">
              <w:rPr>
                <w:rFonts w:ascii="Times New Roman" w:hAnsi="Times New Roman" w:cs="Times New Roman"/>
                <w:sz w:val="24"/>
                <w:szCs w:val="24"/>
              </w:rPr>
              <w:t xml:space="preserve"> externe kúpený</w:t>
            </w:r>
          </w:p>
        </w:tc>
        <w:tc>
          <w:tcPr>
            <w:tcW w:w="2404" w:type="dxa"/>
          </w:tcPr>
          <w:p w14:paraId="5481CDD7" w14:textId="1A4B9624" w:rsidR="00F50031" w:rsidRDefault="00497E76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BC930C9" w14:textId="77777777" w:rsidTr="00746E35">
        <w:tc>
          <w:tcPr>
            <w:tcW w:w="846" w:type="dxa"/>
          </w:tcPr>
          <w:p w14:paraId="4CB25394" w14:textId="6E501CF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812" w:type="dxa"/>
          </w:tcPr>
          <w:p w14:paraId="703D217D" w14:textId="2B4C646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interne tvorený</w:t>
            </w:r>
          </w:p>
        </w:tc>
        <w:tc>
          <w:tcPr>
            <w:tcW w:w="2404" w:type="dxa"/>
          </w:tcPr>
          <w:p w14:paraId="743AB89C" w14:textId="1B0254D4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8EF51FF" w14:textId="77777777" w:rsidTr="00746E35">
        <w:tc>
          <w:tcPr>
            <w:tcW w:w="846" w:type="dxa"/>
          </w:tcPr>
          <w:p w14:paraId="40614917" w14:textId="79E78141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5812" w:type="dxa"/>
          </w:tcPr>
          <w:p w14:paraId="6F3DC86D" w14:textId="65DCCE3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obstaraný inak (darom)</w:t>
            </w:r>
          </w:p>
        </w:tc>
        <w:tc>
          <w:tcPr>
            <w:tcW w:w="2404" w:type="dxa"/>
          </w:tcPr>
          <w:p w14:paraId="303EEBF8" w14:textId="105DB0A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0FF41B6E" w14:textId="77777777" w:rsidTr="00746E35">
        <w:tc>
          <w:tcPr>
            <w:tcW w:w="846" w:type="dxa"/>
          </w:tcPr>
          <w:p w14:paraId="102999BA" w14:textId="3172C1C7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2" w:type="dxa"/>
          </w:tcPr>
          <w:p w14:paraId="26FB323D" w14:textId="0B50F0E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404" w:type="dxa"/>
          </w:tcPr>
          <w:p w14:paraId="0DC31472" w14:textId="62649E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F7B0CCD" w14:textId="77777777" w:rsidTr="00746E35">
        <w:tc>
          <w:tcPr>
            <w:tcW w:w="846" w:type="dxa"/>
          </w:tcPr>
          <w:p w14:paraId="0CF26BFA" w14:textId="55E83A9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812" w:type="dxa"/>
          </w:tcPr>
          <w:p w14:paraId="4B250F4A" w14:textId="577E30ED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kúpou</w:t>
            </w:r>
          </w:p>
        </w:tc>
        <w:tc>
          <w:tcPr>
            <w:tcW w:w="2404" w:type="dxa"/>
          </w:tcPr>
          <w:p w14:paraId="67C86FEF" w14:textId="0B329E9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85EE890" w14:textId="77777777" w:rsidTr="00746E35">
        <w:tc>
          <w:tcPr>
            <w:tcW w:w="846" w:type="dxa"/>
          </w:tcPr>
          <w:p w14:paraId="6AC1FE75" w14:textId="6C42240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812" w:type="dxa"/>
          </w:tcPr>
          <w:p w14:paraId="2F4BC617" w14:textId="43044B4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404" w:type="dxa"/>
          </w:tcPr>
          <w:p w14:paraId="08FB364D" w14:textId="5682E0D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107CB6C" w14:textId="77777777" w:rsidTr="00746E35">
        <w:tc>
          <w:tcPr>
            <w:tcW w:w="846" w:type="dxa"/>
          </w:tcPr>
          <w:p w14:paraId="0047FCF6" w14:textId="3F6A2EF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5812" w:type="dxa"/>
          </w:tcPr>
          <w:p w14:paraId="64C02B87" w14:textId="146E593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inak (darom)</w:t>
            </w:r>
          </w:p>
        </w:tc>
        <w:tc>
          <w:tcPr>
            <w:tcW w:w="2404" w:type="dxa"/>
          </w:tcPr>
          <w:p w14:paraId="3B52C2CB" w14:textId="6C649AC2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3FCE348D" w14:textId="77777777" w:rsidTr="00746E35">
        <w:tc>
          <w:tcPr>
            <w:tcW w:w="846" w:type="dxa"/>
          </w:tcPr>
          <w:p w14:paraId="62041BA6" w14:textId="40F8BDBD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5812" w:type="dxa"/>
          </w:tcPr>
          <w:p w14:paraId="52A5A83D" w14:textId="67FEC4F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 a zákazková výstavba nehnuteľnosti určenej na predaj</w:t>
            </w:r>
          </w:p>
        </w:tc>
        <w:tc>
          <w:tcPr>
            <w:tcW w:w="2404" w:type="dxa"/>
          </w:tcPr>
          <w:p w14:paraId="38340C72" w14:textId="12570F7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598800A8" w14:textId="77777777" w:rsidTr="00746E35">
        <w:tc>
          <w:tcPr>
            <w:tcW w:w="846" w:type="dxa"/>
          </w:tcPr>
          <w:p w14:paraId="5C84691A" w14:textId="7A1DCE40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12.1.</w:t>
            </w:r>
          </w:p>
        </w:tc>
        <w:tc>
          <w:tcPr>
            <w:tcW w:w="5812" w:type="dxa"/>
          </w:tcPr>
          <w:p w14:paraId="5EC0E089" w14:textId="363E491C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pohľadávky</w:t>
            </w:r>
          </w:p>
        </w:tc>
        <w:tc>
          <w:tcPr>
            <w:tcW w:w="2404" w:type="dxa"/>
          </w:tcPr>
          <w:p w14:paraId="2872DCA9" w14:textId="3C4295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6E065EC4" w14:textId="77777777" w:rsidTr="00746E35">
        <w:tc>
          <w:tcPr>
            <w:tcW w:w="846" w:type="dxa"/>
          </w:tcPr>
          <w:p w14:paraId="00F7D9B1" w14:textId="386B58C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12.2.</w:t>
            </w:r>
          </w:p>
        </w:tc>
        <w:tc>
          <w:tcPr>
            <w:tcW w:w="5812" w:type="dxa"/>
          </w:tcPr>
          <w:p w14:paraId="3F67087C" w14:textId="281D7E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Kúpené pohľadávky</w:t>
            </w:r>
          </w:p>
        </w:tc>
        <w:tc>
          <w:tcPr>
            <w:tcW w:w="2404" w:type="dxa"/>
          </w:tcPr>
          <w:p w14:paraId="6EBD44D4" w14:textId="43394A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6F7951F" w14:textId="77777777" w:rsidTr="00746E35">
        <w:tc>
          <w:tcPr>
            <w:tcW w:w="846" w:type="dxa"/>
          </w:tcPr>
          <w:p w14:paraId="13B3C6F9" w14:textId="10AA36F5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5812" w:type="dxa"/>
          </w:tcPr>
          <w:p w14:paraId="72E4EEC8" w14:textId="065E4BAB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404" w:type="dxa"/>
          </w:tcPr>
          <w:p w14:paraId="53A974ED" w14:textId="77FD52C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63242C75" w14:textId="77777777" w:rsidTr="00746E35">
        <w:tc>
          <w:tcPr>
            <w:tcW w:w="846" w:type="dxa"/>
          </w:tcPr>
          <w:p w14:paraId="38D47326" w14:textId="6501606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5812" w:type="dxa"/>
          </w:tcPr>
          <w:p w14:paraId="495258CA" w14:textId="1E7BF201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aktív súvahy</w:t>
            </w:r>
          </w:p>
        </w:tc>
        <w:tc>
          <w:tcPr>
            <w:tcW w:w="2404" w:type="dxa"/>
          </w:tcPr>
          <w:p w14:paraId="77250B01" w14:textId="5221235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41DE2859" w14:textId="77777777" w:rsidTr="00746E35">
        <w:tc>
          <w:tcPr>
            <w:tcW w:w="846" w:type="dxa"/>
          </w:tcPr>
          <w:p w14:paraId="02C90E2A" w14:textId="683B2A02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5812" w:type="dxa"/>
          </w:tcPr>
          <w:p w14:paraId="76311841" w14:textId="27F3D9AB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Záväzky, vrátane rezerv, dlhopisov, pôžičiek a úverov</w:t>
            </w:r>
          </w:p>
        </w:tc>
        <w:tc>
          <w:tcPr>
            <w:tcW w:w="2404" w:type="dxa"/>
          </w:tcPr>
          <w:p w14:paraId="547C5BE4" w14:textId="1BE8EE46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DADD37A" w14:textId="77777777" w:rsidTr="00746E35">
        <w:tc>
          <w:tcPr>
            <w:tcW w:w="846" w:type="dxa"/>
          </w:tcPr>
          <w:p w14:paraId="1463486E" w14:textId="3ED5C44B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5812" w:type="dxa"/>
          </w:tcPr>
          <w:p w14:paraId="3FDE6560" w14:textId="6CB82CF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pasív súvahy</w:t>
            </w:r>
          </w:p>
        </w:tc>
        <w:tc>
          <w:tcPr>
            <w:tcW w:w="2404" w:type="dxa"/>
          </w:tcPr>
          <w:p w14:paraId="51E3DD4E" w14:textId="1A770DF7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6CCB0C46" w14:textId="77777777" w:rsidTr="00746E35">
        <w:tc>
          <w:tcPr>
            <w:tcW w:w="846" w:type="dxa"/>
          </w:tcPr>
          <w:p w14:paraId="65A2E951" w14:textId="7B4F2668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5812" w:type="dxa"/>
          </w:tcPr>
          <w:p w14:paraId="35DDB573" w14:textId="3F94F985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Deriváty</w:t>
            </w:r>
          </w:p>
        </w:tc>
        <w:tc>
          <w:tcPr>
            <w:tcW w:w="2404" w:type="dxa"/>
          </w:tcPr>
          <w:p w14:paraId="1586BB45" w14:textId="02557AC2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12FEE5C" w14:textId="77777777" w:rsidTr="00746E35">
        <w:tc>
          <w:tcPr>
            <w:tcW w:w="846" w:type="dxa"/>
          </w:tcPr>
          <w:p w14:paraId="79FBE612" w14:textId="2720E560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5812" w:type="dxa"/>
          </w:tcPr>
          <w:p w14:paraId="4FB636DA" w14:textId="163B4CB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2404" w:type="dxa"/>
          </w:tcPr>
          <w:p w14:paraId="1C631BD8" w14:textId="7BF9CE48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42EC130A" w14:textId="77777777" w:rsidTr="00746E35">
        <w:tc>
          <w:tcPr>
            <w:tcW w:w="846" w:type="dxa"/>
          </w:tcPr>
          <w:p w14:paraId="671C1F37" w14:textId="3BDCA9B5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5812" w:type="dxa"/>
          </w:tcPr>
          <w:p w14:paraId="3CE67977" w14:textId="591DAAE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 a majetok obstaraný na základe zmluvy o kúpe prenajatej veci</w:t>
            </w:r>
          </w:p>
        </w:tc>
        <w:tc>
          <w:tcPr>
            <w:tcW w:w="2404" w:type="dxa"/>
          </w:tcPr>
          <w:p w14:paraId="70CEA710" w14:textId="2A44B2EF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227E" w14:paraId="7CF18675" w14:textId="77777777" w:rsidTr="00746E35">
        <w:tc>
          <w:tcPr>
            <w:tcW w:w="846" w:type="dxa"/>
          </w:tcPr>
          <w:p w14:paraId="644A830E" w14:textId="2AF1CEF1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5812" w:type="dxa"/>
          </w:tcPr>
          <w:p w14:paraId="1992911F" w14:textId="52ECE52A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Splatná daň z príjmov a odložená daň z príjmov</w:t>
            </w:r>
          </w:p>
        </w:tc>
        <w:tc>
          <w:tcPr>
            <w:tcW w:w="2404" w:type="dxa"/>
          </w:tcPr>
          <w:p w14:paraId="26D60E5B" w14:textId="652068D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61537ECF" w14:textId="27626E6D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33042C" w14:textId="0DB43E34" w:rsidR="003C227E" w:rsidRDefault="003C227E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Trvalé zníženie  hodnoty majetku nebolo účtované. Prechodné zníženie hodnoty majetku je zaúčtované formou opravnej položky stanovené</w:t>
      </w:r>
      <w:r w:rsidR="00044065">
        <w:rPr>
          <w:rFonts w:ascii="Times New Roman" w:hAnsi="Times New Roman" w:cs="Times New Roman"/>
          <w:sz w:val="24"/>
          <w:szCs w:val="24"/>
        </w:rPr>
        <w:t xml:space="preserve"> odborným odhadom bonity klienta.</w:t>
      </w:r>
    </w:p>
    <w:p w14:paraId="56C2FCCC" w14:textId="5F67CC8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Záväzky účtovná jednotka ocenila menovitou hodnotou záväzkov. Rezervy účtovná jednotka ocenila odborným odhadom budúcej menovitej hodnoty potrebnej na ich úhradu.</w:t>
      </w:r>
    </w:p>
    <w:p w14:paraId="2C1DD386" w14:textId="4BB4116C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Určenie ocenenia </w:t>
      </w:r>
      <w:r>
        <w:rPr>
          <w:rFonts w:ascii="Times New Roman" w:hAnsi="Times New Roman" w:cs="Times New Roman"/>
          <w:sz w:val="24"/>
          <w:szCs w:val="24"/>
          <w:u w:val="single"/>
        </w:rPr>
        <w:t>finančných nástrojov alebo majetku,</w:t>
      </w:r>
      <w:r>
        <w:rPr>
          <w:rFonts w:ascii="Times New Roman" w:hAnsi="Times New Roman" w:cs="Times New Roman"/>
          <w:sz w:val="24"/>
          <w:szCs w:val="24"/>
        </w:rPr>
        <w:t xml:space="preserve"> ktorý nie je finančným nástrojom pri oceňovaní </w:t>
      </w:r>
      <w:r>
        <w:rPr>
          <w:rFonts w:ascii="Times New Roman" w:hAnsi="Times New Roman" w:cs="Times New Roman"/>
          <w:b/>
          <w:bCs/>
          <w:sz w:val="24"/>
          <w:szCs w:val="24"/>
        </w:rPr>
        <w:t>reálnou hodnotou:</w:t>
      </w:r>
    </w:p>
    <w:p w14:paraId="560D3E8A" w14:textId="267BC379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>
        <w:rPr>
          <w:rFonts w:ascii="Times New Roman" w:hAnsi="Times New Roman" w:cs="Times New Roman"/>
          <w:bCs/>
          <w:sz w:val="24"/>
          <w:szCs w:val="24"/>
        </w:rPr>
        <w:t xml:space="preserve">Určenie ocenenia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finančných nástrojov</w:t>
      </w:r>
      <w:r>
        <w:rPr>
          <w:rFonts w:ascii="Times New Roman" w:hAnsi="Times New Roman" w:cs="Times New Roman"/>
          <w:bCs/>
          <w:sz w:val="24"/>
          <w:szCs w:val="24"/>
        </w:rPr>
        <w:t xml:space="preserve"> pri oceňovaní obstarávacou cenou alebo vlastnými nákladmi:</w:t>
      </w:r>
    </w:p>
    <w:p w14:paraId="7506AF80" w14:textId="51844A2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oceňovaniu majetku a záväzkov:</w:t>
      </w:r>
    </w:p>
    <w:p w14:paraId="5B1D1D18" w14:textId="1111B40C" w:rsidR="00044065" w:rsidRP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Finančné nástroje </w:t>
      </w:r>
      <w:r>
        <w:rPr>
          <w:rFonts w:ascii="Times New Roman" w:hAnsi="Times New Roman" w:cs="Times New Roman"/>
          <w:bCs/>
          <w:sz w:val="24"/>
          <w:szCs w:val="24"/>
        </w:rPr>
        <w:t xml:space="preserve">definuje § 5 zákona č. 566/2001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futures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, swapy, forwardy), nástroje peňažného trhu (pokladničné poukážky, vkladové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Pr="005542D7">
        <w:rPr>
          <w:rFonts w:ascii="Times New Roman" w:hAnsi="Times New Roman" w:cs="Times New Roman"/>
          <w:bCs/>
          <w:sz w:val="24"/>
          <w:szCs w:val="24"/>
        </w:rPr>
        <w:t>listy).</w:t>
      </w:r>
    </w:p>
    <w:p w14:paraId="6F34E39C" w14:textId="2DDC822A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542D7"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Opravné položky</w:t>
      </w:r>
      <w:r>
        <w:rPr>
          <w:rFonts w:ascii="Times New Roman" w:hAnsi="Times New Roman" w:cs="Times New Roman"/>
          <w:bCs/>
          <w:sz w:val="24"/>
          <w:szCs w:val="24"/>
        </w:rPr>
        <w:t xml:space="preserve"> k majetku, okrem dlhodobej pohľadávky a dlhodobej pôžičky UJ odborným odhadom bonity príslušného majetku.</w:t>
      </w:r>
    </w:p>
    <w:p w14:paraId="7F7A5E7E" w14:textId="1126BA34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Opravnú položku k dlhodobej pohľadávke </w:t>
      </w:r>
      <w:r>
        <w:rPr>
          <w:rFonts w:ascii="Times New Roman" w:hAnsi="Times New Roman" w:cs="Times New Roman"/>
          <w:bCs/>
          <w:sz w:val="24"/>
          <w:szCs w:val="24"/>
        </w:rPr>
        <w:t xml:space="preserve">a opravnú položku k dlhodobej pôžičke UJ stanovila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metódu</w:t>
      </w:r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proofErr w:type="spellStart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>odúročenia</w:t>
      </w:r>
      <w:proofErr w:type="spellEnd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na súčasnú hodnotu </w:t>
      </w:r>
      <w:r w:rsidR="00FF0056" w:rsidRPr="00FF0056">
        <w:rPr>
          <w:rFonts w:ascii="Times New Roman" w:hAnsi="Times New Roman" w:cs="Times New Roman"/>
          <w:bCs/>
          <w:sz w:val="24"/>
          <w:szCs w:val="24"/>
        </w:rPr>
        <w:t xml:space="preserve">(§ </w:t>
      </w:r>
      <w:r w:rsidR="00FF0056">
        <w:rPr>
          <w:rFonts w:ascii="Times New Roman" w:hAnsi="Times New Roman" w:cs="Times New Roman"/>
          <w:bCs/>
          <w:sz w:val="24"/>
          <w:szCs w:val="24"/>
        </w:rPr>
        <w:t>18/8 PU; § 21/6 PU).</w:t>
      </w:r>
    </w:p>
    <w:p w14:paraId="15C20F78" w14:textId="1D4390D1" w:rsidR="00FF0056" w:rsidRDefault="00FF0056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FF0056">
        <w:rPr>
          <w:rFonts w:ascii="Times New Roman" w:hAnsi="Times New Roman" w:cs="Times New Roman"/>
          <w:bCs/>
          <w:sz w:val="24"/>
          <w:szCs w:val="24"/>
          <w:u w:val="single"/>
        </w:rPr>
        <w:t>Rezervy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ocenila UJ kalkulačnou metódou kvalifikovaného odhadu ich menovitej hodnoty na pokrytie budúcich záväzkov.</w:t>
      </w:r>
    </w:p>
    <w:p w14:paraId="47AE292D" w14:textId="0460BEE4" w:rsidR="00C53CD5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: UJ počas účtovného obdobia (§ 25ZoU), ani k 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dňu (§27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) nepoužila  ocenenie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reálnou hodnotou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lebo nemala k tomu vecnú náplň.</w:t>
      </w:r>
    </w:p>
    <w:p w14:paraId="0E87EAFA" w14:textId="1D4A5C0F" w:rsidR="00FF0056" w:rsidRPr="00FB416F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ÚJ používa pri oceňovaní úbytku rovnakého druhu zásob a cenných papierov –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vážený aritmetický priemer </w:t>
      </w:r>
      <w:r>
        <w:rPr>
          <w:rFonts w:ascii="Times New Roman" w:hAnsi="Times New Roman" w:cs="Times New Roman"/>
          <w:bCs/>
          <w:sz w:val="24"/>
          <w:szCs w:val="24"/>
        </w:rPr>
        <w:t>(§ 25/5</w:t>
      </w:r>
      <w:r w:rsidR="00FB416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B416F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FB416F">
        <w:rPr>
          <w:rFonts w:ascii="Times New Roman" w:hAnsi="Times New Roman" w:cs="Times New Roman"/>
          <w:bCs/>
          <w:sz w:val="24"/>
          <w:szCs w:val="24"/>
        </w:rPr>
        <w:t>; § 22/1 PU</w:t>
      </w:r>
      <w:r w:rsidR="00FB416F" w:rsidRPr="00FB416F">
        <w:rPr>
          <w:rFonts w:ascii="Times New Roman" w:hAnsi="Times New Roman" w:cs="Times New Roman"/>
          <w:bCs/>
          <w:sz w:val="24"/>
          <w:szCs w:val="24"/>
        </w:rPr>
        <w:t>).</w:t>
      </w:r>
    </w:p>
    <w:p w14:paraId="48BA7ED9" w14:textId="0462E565" w:rsidR="00FB416F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416F">
        <w:rPr>
          <w:rFonts w:ascii="Times New Roman" w:hAnsi="Times New Roman" w:cs="Times New Roman"/>
          <w:bCs/>
          <w:sz w:val="24"/>
          <w:szCs w:val="24"/>
        </w:rPr>
        <w:t xml:space="preserve">: ÚJ </w:t>
      </w:r>
      <w:r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prírastku</w:t>
      </w:r>
      <w:r>
        <w:rPr>
          <w:rFonts w:ascii="Times New Roman" w:hAnsi="Times New Roman" w:cs="Times New Roman"/>
          <w:bCs/>
          <w:sz w:val="24"/>
          <w:szCs w:val="24"/>
        </w:rPr>
        <w:t xml:space="preserve"> cudzej meny v hotovosti alebo na bankový účet – </w:t>
      </w:r>
      <w:r w:rsidRPr="00FB416F">
        <w:rPr>
          <w:rFonts w:ascii="Times New Roman" w:hAnsi="Times New Roman" w:cs="Times New Roman"/>
          <w:bCs/>
          <w:sz w:val="24"/>
          <w:szCs w:val="24"/>
          <w:u w:val="single"/>
        </w:rPr>
        <w:t>zmenárenský kurz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konkrétnej banky (§ 24/3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73EA056" w14:textId="77777777" w:rsidR="006A7CBB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: ÚJ 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úbytku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 cudzej meny v hotovosti alebo z bankového účtu –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základné pravidlo</w:t>
      </w:r>
      <w:r w:rsidR="00CF761C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="00CF761C" w:rsidRPr="00CF761C">
        <w:rPr>
          <w:rFonts w:ascii="Times New Roman" w:hAnsi="Times New Roman" w:cs="Times New Roman"/>
          <w:bCs/>
          <w:sz w:val="24"/>
          <w:szCs w:val="24"/>
        </w:rPr>
        <w:t>(D-1)</w:t>
      </w:r>
      <w:r w:rsidR="00CF761C">
        <w:rPr>
          <w:rFonts w:ascii="Times New Roman" w:hAnsi="Times New Roman" w:cs="Times New Roman"/>
          <w:bCs/>
          <w:sz w:val="24"/>
          <w:szCs w:val="24"/>
        </w:rPr>
        <w:t xml:space="preserve">, teda kurz zo dňa </w:t>
      </w:r>
      <w:r w:rsidR="00694E3F">
        <w:rPr>
          <w:rFonts w:ascii="Times New Roman" w:hAnsi="Times New Roman" w:cs="Times New Roman"/>
          <w:bCs/>
          <w:sz w:val="24"/>
          <w:szCs w:val="24"/>
        </w:rPr>
        <w:t>predchádzajúceho dňu účtovného prípadu (§ 24/2/a</w:t>
      </w:r>
      <w:r w:rsidR="00CA1656">
        <w:rPr>
          <w:rFonts w:ascii="Times New Roman" w:hAnsi="Times New Roman" w:cs="Times New Roman"/>
          <w:bCs/>
          <w:sz w:val="24"/>
          <w:szCs w:val="24"/>
        </w:rPr>
        <w:t xml:space="preserve">; § 24/6 </w:t>
      </w:r>
      <w:proofErr w:type="spellStart"/>
      <w:r w:rsidR="00CA1656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CA1656">
        <w:rPr>
          <w:rFonts w:ascii="Times New Roman" w:hAnsi="Times New Roman" w:cs="Times New Roman"/>
          <w:bCs/>
          <w:sz w:val="24"/>
          <w:szCs w:val="24"/>
        </w:rPr>
        <w:t>)</w:t>
      </w:r>
      <w:r w:rsidR="006A7CBB">
        <w:rPr>
          <w:rFonts w:ascii="Times New Roman" w:hAnsi="Times New Roman" w:cs="Times New Roman"/>
          <w:bCs/>
          <w:sz w:val="24"/>
          <w:szCs w:val="24"/>
        </w:rPr>
        <w:t>.</w:t>
      </w:r>
    </w:p>
    <w:p w14:paraId="736BDDEF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f) Účtovná jednotka nepoužila dobrovoľné oceňovanie obchodných podielov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metódou vlastného imania </w:t>
      </w:r>
      <w:r>
        <w:rPr>
          <w:rFonts w:ascii="Times New Roman" w:hAnsi="Times New Roman" w:cs="Times New Roman"/>
          <w:bCs/>
          <w:sz w:val="24"/>
          <w:szCs w:val="24"/>
        </w:rPr>
        <w:t xml:space="preserve">(§ 27/9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DB06F91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g) </w:t>
      </w:r>
      <w:r>
        <w:rPr>
          <w:rFonts w:ascii="Times New Roman" w:hAnsi="Times New Roman" w:cs="Times New Roman"/>
          <w:b/>
          <w:sz w:val="24"/>
          <w:szCs w:val="24"/>
        </w:rPr>
        <w:t>Tvorba odpisového plánu</w:t>
      </w:r>
      <w:r>
        <w:rPr>
          <w:rFonts w:ascii="Times New Roman" w:hAnsi="Times New Roman" w:cs="Times New Roman"/>
          <w:bCs/>
          <w:sz w:val="24"/>
          <w:szCs w:val="24"/>
        </w:rPr>
        <w:t xml:space="preserve">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992"/>
        <w:gridCol w:w="1843"/>
        <w:gridCol w:w="2410"/>
      </w:tblGrid>
      <w:tr w:rsidR="006A7CBB" w14:paraId="6B04F7E1" w14:textId="77777777" w:rsidTr="00BB0E45">
        <w:tc>
          <w:tcPr>
            <w:tcW w:w="3681" w:type="dxa"/>
          </w:tcPr>
          <w:p w14:paraId="2EE3153F" w14:textId="77777777" w:rsidR="00BB0E45" w:rsidRDefault="00BB0E45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D24CABC" w14:textId="12DC778D" w:rsidR="006A7CBB" w:rsidRPr="006A7CBB" w:rsidRDefault="006A7CBB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Dlhodobý hmotný a nehmotný odpisovaný majetok</w:t>
            </w:r>
          </w:p>
        </w:tc>
        <w:tc>
          <w:tcPr>
            <w:tcW w:w="992" w:type="dxa"/>
          </w:tcPr>
          <w:p w14:paraId="150ED01F" w14:textId="77777777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B27EEF4" w14:textId="4606FC6E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</w:t>
            </w:r>
          </w:p>
          <w:p w14:paraId="17827840" w14:textId="0599DFB6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34BDC96" w14:textId="6D78911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(počet rokov)</w:t>
            </w:r>
          </w:p>
        </w:tc>
        <w:tc>
          <w:tcPr>
            <w:tcW w:w="2410" w:type="dxa"/>
          </w:tcPr>
          <w:p w14:paraId="74C05DD4" w14:textId="77777777" w:rsidR="00BB0E45" w:rsidRDefault="00BB0E45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05A15DA" w14:textId="0424042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sadzba (%)</w:t>
            </w:r>
          </w:p>
        </w:tc>
      </w:tr>
      <w:tr w:rsidR="006A7CBB" w14:paraId="1C4A5F75" w14:textId="77777777" w:rsidTr="00BB0E45">
        <w:tc>
          <w:tcPr>
            <w:tcW w:w="3681" w:type="dxa"/>
          </w:tcPr>
          <w:p w14:paraId="38A65F9C" w14:textId="70FED475" w:rsidR="006A7CBB" w:rsidRDefault="006A7CBB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Software</w:t>
            </w:r>
          </w:p>
        </w:tc>
        <w:tc>
          <w:tcPr>
            <w:tcW w:w="992" w:type="dxa"/>
          </w:tcPr>
          <w:p w14:paraId="61AEBAA9" w14:textId="4EBBD0E0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013</w:t>
            </w:r>
          </w:p>
        </w:tc>
        <w:tc>
          <w:tcPr>
            <w:tcW w:w="1843" w:type="dxa"/>
          </w:tcPr>
          <w:p w14:paraId="073BE12E" w14:textId="16490B07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1F3A57E3" w14:textId="6771322D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6E9A3F5D" w14:textId="77777777" w:rsidTr="00BB0E45">
        <w:tc>
          <w:tcPr>
            <w:tcW w:w="3681" w:type="dxa"/>
          </w:tcPr>
          <w:p w14:paraId="6C3CC39F" w14:textId="3A206E1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DNM</w:t>
            </w:r>
          </w:p>
        </w:tc>
        <w:tc>
          <w:tcPr>
            <w:tcW w:w="992" w:type="dxa"/>
          </w:tcPr>
          <w:p w14:paraId="7229ACD6" w14:textId="2288B5B2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019</w:t>
            </w:r>
          </w:p>
        </w:tc>
        <w:tc>
          <w:tcPr>
            <w:tcW w:w="1843" w:type="dxa"/>
          </w:tcPr>
          <w:p w14:paraId="43D8742B" w14:textId="71AF3A2A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61ED7B26" w14:textId="31874D9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1AD23312" w14:textId="77777777" w:rsidTr="00BB0E45">
        <w:tc>
          <w:tcPr>
            <w:tcW w:w="3681" w:type="dxa"/>
          </w:tcPr>
          <w:p w14:paraId="2E7DB578" w14:textId="1633BC03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Stavby</w:t>
            </w:r>
          </w:p>
        </w:tc>
        <w:tc>
          <w:tcPr>
            <w:tcW w:w="992" w:type="dxa"/>
          </w:tcPr>
          <w:p w14:paraId="27A7789D" w14:textId="4636E9C7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021</w:t>
            </w:r>
          </w:p>
        </w:tc>
        <w:tc>
          <w:tcPr>
            <w:tcW w:w="1843" w:type="dxa"/>
          </w:tcPr>
          <w:p w14:paraId="5ECAE577" w14:textId="52252C8C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2410" w:type="dxa"/>
          </w:tcPr>
          <w:p w14:paraId="28D1FC8B" w14:textId="772ADBB6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6A7CBB" w14:paraId="2287C4D9" w14:textId="77777777" w:rsidTr="00BB0E45">
        <w:tc>
          <w:tcPr>
            <w:tcW w:w="3681" w:type="dxa"/>
          </w:tcPr>
          <w:p w14:paraId="0CFDF376" w14:textId="04BEFAF2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Počítače s príslušenstvom</w:t>
            </w:r>
          </w:p>
        </w:tc>
        <w:tc>
          <w:tcPr>
            <w:tcW w:w="992" w:type="dxa"/>
          </w:tcPr>
          <w:p w14:paraId="0571B902" w14:textId="245111C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76D32B9C" w14:textId="5524126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1E3CEE1E" w14:textId="6ACA270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6A7CBB" w14:paraId="3DA4A654" w14:textId="77777777" w:rsidTr="00BB0E45">
        <w:tc>
          <w:tcPr>
            <w:tcW w:w="3681" w:type="dxa"/>
          </w:tcPr>
          <w:p w14:paraId="4D978B67" w14:textId="314E9684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Dopravné prostriedky</w:t>
            </w:r>
          </w:p>
        </w:tc>
        <w:tc>
          <w:tcPr>
            <w:tcW w:w="992" w:type="dxa"/>
          </w:tcPr>
          <w:p w14:paraId="49CBCEB3" w14:textId="5DB70C3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023</w:t>
            </w:r>
          </w:p>
        </w:tc>
        <w:tc>
          <w:tcPr>
            <w:tcW w:w="1843" w:type="dxa"/>
          </w:tcPr>
          <w:p w14:paraId="2AC59287" w14:textId="525C9B1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7893154A" w14:textId="34E1307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7E211B10" w14:textId="77777777" w:rsidTr="00BB0E45">
        <w:tc>
          <w:tcPr>
            <w:tcW w:w="3681" w:type="dxa"/>
          </w:tcPr>
          <w:p w14:paraId="708DB476" w14:textId="6193E868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Ostatné stroje</w:t>
            </w:r>
          </w:p>
        </w:tc>
        <w:tc>
          <w:tcPr>
            <w:tcW w:w="992" w:type="dxa"/>
          </w:tcPr>
          <w:p w14:paraId="07510BCE" w14:textId="2078C1D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4B3E97E8" w14:textId="53B13B7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3B56705B" w14:textId="180B7EE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1A4D3A47" w14:textId="77777777" w:rsidTr="00BB0E45">
        <w:tc>
          <w:tcPr>
            <w:tcW w:w="3681" w:type="dxa"/>
          </w:tcPr>
          <w:p w14:paraId="57182401" w14:textId="6698E75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dlhodobý hmotný majetok</w:t>
            </w:r>
          </w:p>
        </w:tc>
        <w:tc>
          <w:tcPr>
            <w:tcW w:w="992" w:type="dxa"/>
          </w:tcPr>
          <w:p w14:paraId="542A297B" w14:textId="1AB6F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029</w:t>
            </w:r>
          </w:p>
        </w:tc>
        <w:tc>
          <w:tcPr>
            <w:tcW w:w="1843" w:type="dxa"/>
          </w:tcPr>
          <w:p w14:paraId="70863BD5" w14:textId="78182E8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68B246A6" w14:textId="31993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</w:tbl>
    <w:p w14:paraId="6107042B" w14:textId="115248E0" w:rsidR="00FB416F" w:rsidRDefault="00694E3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CC26C07" w14:textId="6FF48CE6" w:rsidR="00BB0E45" w:rsidRDefault="00BB0E45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odpisovanému plánu:</w:t>
      </w:r>
    </w:p>
    <w:p w14:paraId="13CE3E2E" w14:textId="03AAAA50" w:rsidR="00BB0E45" w:rsidRPr="00FF6B4C" w:rsidRDefault="00551A2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51A25">
        <w:rPr>
          <w:rFonts w:ascii="Times New Roman" w:hAnsi="Times New Roman" w:cs="Times New Roman"/>
          <w:sz w:val="24"/>
          <w:szCs w:val="24"/>
        </w:rPr>
        <w:t>UJ používa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účtovné odpisy nezávisle na daňových odpisoch. </w:t>
      </w:r>
      <w:r>
        <w:rPr>
          <w:rFonts w:ascii="Times New Roman" w:hAnsi="Times New Roman" w:cs="Times New Roman"/>
          <w:sz w:val="24"/>
          <w:szCs w:val="24"/>
        </w:rPr>
        <w:t xml:space="preserve">Majetok sa začína odpisovať v mesiaci, kedy bol </w:t>
      </w:r>
      <w:r>
        <w:rPr>
          <w:rFonts w:ascii="Times New Roman" w:hAnsi="Times New Roman" w:cs="Times New Roman"/>
          <w:sz w:val="24"/>
          <w:szCs w:val="24"/>
          <w:u w:val="single"/>
        </w:rPr>
        <w:t>zaradený do užívania.</w:t>
      </w:r>
      <w:r>
        <w:rPr>
          <w:rFonts w:ascii="Times New Roman" w:hAnsi="Times New Roman" w:cs="Times New Roman"/>
          <w:sz w:val="24"/>
          <w:szCs w:val="24"/>
        </w:rPr>
        <w:t xml:space="preserve"> Účtovné odpisy vychádzajú z predpokladanej doby používania majetku. Dlhodobý nehmotný majetok sa odpisuje počas 4 rokov od jeho obstarania.</w:t>
      </w:r>
    </w:p>
    <w:p w14:paraId="455461C1" w14:textId="7F193657" w:rsidR="00FF6B4C" w:rsidRPr="00FF6B4C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používa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rovnomerné odpisovanie </w:t>
      </w:r>
      <w:r>
        <w:rPr>
          <w:rFonts w:ascii="Times New Roman" w:hAnsi="Times New Roman" w:cs="Times New Roman"/>
          <w:sz w:val="24"/>
          <w:szCs w:val="24"/>
        </w:rPr>
        <w:t>dlhodobého hmotného majetku a dlhodobého nehmotného  majetku. Podrobný účtovný odpisový plán po položkách sa vedie v podsystéme Majetok s podporou softvéru Money (taktiež daňové odpisy podľa zákona o dani z príjmov).</w:t>
      </w:r>
    </w:p>
    <w:p w14:paraId="0546929B" w14:textId="37647446" w:rsidR="00FF6B4C" w:rsidRPr="00AF07D5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odpisuje jednotlivé veci alebo relevantné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súbory hnuteľných vecí </w:t>
      </w:r>
      <w:r>
        <w:rPr>
          <w:rFonts w:ascii="Times New Roman" w:hAnsi="Times New Roman" w:cs="Times New Roman"/>
          <w:sz w:val="24"/>
          <w:szCs w:val="24"/>
        </w:rPr>
        <w:t xml:space="preserve">(napríklad počítačová sieť, </w:t>
      </w:r>
      <w:r w:rsidR="00AF07D5">
        <w:rPr>
          <w:rFonts w:ascii="Times New Roman" w:hAnsi="Times New Roman" w:cs="Times New Roman"/>
          <w:sz w:val="24"/>
          <w:szCs w:val="24"/>
        </w:rPr>
        <w:t xml:space="preserve"> nábytková zostava). UJ nepoužíva komponentné odpisovanie (odpisovanie častí majetku – komponentov).</w:t>
      </w:r>
    </w:p>
    <w:p w14:paraId="23CD7D85" w14:textId="3535215A" w:rsidR="00AF07D5" w:rsidRPr="00AF07D5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nepoužila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jednorázový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odpis</w:t>
      </w:r>
      <w:r>
        <w:rPr>
          <w:rFonts w:ascii="Times New Roman" w:hAnsi="Times New Roman" w:cs="Times New Roman"/>
          <w:sz w:val="24"/>
          <w:szCs w:val="24"/>
        </w:rPr>
        <w:t xml:space="preserve"> dlhodobého majetku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jednorázového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trvalého zníženia hodnoty majetku (§ 21/5 PU).</w:t>
      </w:r>
    </w:p>
    <w:p w14:paraId="524D36E9" w14:textId="0E931C39" w:rsidR="00AF07D5" w:rsidRPr="005D63B9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</w:t>
      </w:r>
      <w:r w:rsidR="005D63B9">
        <w:rPr>
          <w:rFonts w:ascii="Times New Roman" w:hAnsi="Times New Roman" w:cs="Times New Roman"/>
          <w:sz w:val="24"/>
          <w:szCs w:val="24"/>
          <w:u w:val="single"/>
        </w:rPr>
        <w:t>nehmotného majetku</w:t>
      </w:r>
      <w:r w:rsidR="005D63B9">
        <w:rPr>
          <w:rFonts w:ascii="Times New Roman" w:hAnsi="Times New Roman" w:cs="Times New Roman"/>
          <w:sz w:val="24"/>
          <w:szCs w:val="24"/>
        </w:rPr>
        <w:t xml:space="preserve"> – položky pod 2400 eur jednotkovej ceny so životnosťou nad jeden rok (§ 13/2 PU).</w:t>
      </w:r>
    </w:p>
    <w:p w14:paraId="3CAE6D41" w14:textId="61E5B480" w:rsidR="005D63B9" w:rsidRPr="005D63B9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hmotného majetku </w:t>
      </w:r>
      <w:r>
        <w:rPr>
          <w:rFonts w:ascii="Times New Roman" w:hAnsi="Times New Roman" w:cs="Times New Roman"/>
          <w:sz w:val="24"/>
          <w:szCs w:val="24"/>
        </w:rPr>
        <w:t>– položky pod 1 700 eur jednotkovej ceny so životnosťou nad jeden rok (§ 13/6 PU).</w:t>
      </w:r>
    </w:p>
    <w:p w14:paraId="444A7448" w14:textId="26A4ABAA" w:rsidR="005D63B9" w:rsidRPr="000F57CA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dobrovoľné účtovanie podlimitného zhodnotenia </w:t>
      </w:r>
      <w:r w:rsidR="000F57CA">
        <w:rPr>
          <w:rFonts w:ascii="Times New Roman" w:hAnsi="Times New Roman" w:cs="Times New Roman"/>
          <w:sz w:val="24"/>
          <w:szCs w:val="24"/>
        </w:rPr>
        <w:t>do odpisovaného majetku – technické zhodnotenie pod 1 700 eur za účtovné obdobie (§ 21/3 PU; § 29/2 ZDP).</w:t>
      </w:r>
    </w:p>
    <w:p w14:paraId="165A6962" w14:textId="58E6A324" w:rsidR="000F57CA" w:rsidRPr="00A44F9D" w:rsidRDefault="000F57CA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dobrovoľnú kapitalizáciu  úrokov </w:t>
      </w:r>
      <w:r>
        <w:rPr>
          <w:rFonts w:ascii="Times New Roman" w:hAnsi="Times New Roman" w:cs="Times New Roman"/>
          <w:sz w:val="24"/>
          <w:szCs w:val="24"/>
        </w:rPr>
        <w:t>d</w:t>
      </w:r>
      <w:r w:rsidR="00A44F9D">
        <w:rPr>
          <w:rFonts w:ascii="Times New Roman" w:hAnsi="Times New Roman" w:cs="Times New Roman"/>
          <w:sz w:val="24"/>
          <w:szCs w:val="24"/>
        </w:rPr>
        <w:t>o obstarávacej ceny odpisovaného dlhodobého hmotného majetku alebo dlhodobého nehmotného majetku (§ 34/1 PU; § 35/2/h PU).</w:t>
      </w:r>
    </w:p>
    <w:p w14:paraId="7687CFA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h) informácia </w:t>
      </w:r>
      <w:r w:rsidRPr="00A44F9D">
        <w:rPr>
          <w:rFonts w:ascii="Times New Roman" w:hAnsi="Times New Roman" w:cs="Times New Roman"/>
          <w:b/>
          <w:bCs/>
          <w:sz w:val="24"/>
          <w:szCs w:val="24"/>
        </w:rPr>
        <w:t xml:space="preserve">o poskytnutých dotáciách </w:t>
      </w:r>
      <w:r w:rsidRPr="00A44F9D">
        <w:rPr>
          <w:rFonts w:ascii="Times New Roman" w:hAnsi="Times New Roman" w:cs="Times New Roman"/>
          <w:sz w:val="24"/>
          <w:szCs w:val="24"/>
        </w:rPr>
        <w:t>a pri dotáciách na obstaranie majetku sa uvedú zložky majetku a ich ocenenie.</w:t>
      </w:r>
    </w:p>
    <w:p w14:paraId="0D66A1D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0D8A3A" w14:textId="520AE270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5) 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>nformáci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 xml:space="preserve"> o oprave </w:t>
      </w:r>
      <w:r w:rsidRPr="00A579BA">
        <w:rPr>
          <w:rFonts w:ascii="Times New Roman" w:hAnsi="Times New Roman" w:cs="Times New Roman"/>
          <w:b/>
          <w:bCs/>
          <w:sz w:val="24"/>
          <w:szCs w:val="24"/>
          <w:u w:val="single"/>
        </w:rPr>
        <w:t>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t>s uvedením sumy vplyvu</w:t>
      </w:r>
      <w:r w:rsidRPr="00A44F9D">
        <w:rPr>
          <w:rFonts w:ascii="Times New Roman" w:hAnsi="Times New Roman" w:cs="Times New Roman"/>
          <w:sz w:val="24"/>
          <w:szCs w:val="24"/>
        </w:rPr>
        <w:t xml:space="preserve"> na nerozdelený zisk minulých rokov alebo na neuhradenú stratu minulých rokov. Účtovná jednotka môže uviesť aj informácie o oprave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lastRenderedPageBreak/>
        <w:t>nevýznamných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s uvedením sumy vplyvu na výsledok hospodárenia bežného účtovného obdobia</w:t>
      </w:r>
      <w:r w:rsidR="00A579B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1077"/>
        <w:gridCol w:w="1191"/>
        <w:gridCol w:w="2434"/>
        <w:gridCol w:w="1813"/>
      </w:tblGrid>
      <w:tr w:rsidR="00A579BA" w14:paraId="762106EE" w14:textId="77777777" w:rsidTr="00F059EB">
        <w:tc>
          <w:tcPr>
            <w:tcW w:w="2547" w:type="dxa"/>
          </w:tcPr>
          <w:p w14:paraId="0A2B79AB" w14:textId="01A14C60" w:rsidR="00A579BA" w:rsidRDefault="00A579BA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Opis </w:t>
            </w:r>
            <w:r w:rsidR="00F059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účtovného prípadu</w:t>
            </w:r>
          </w:p>
        </w:tc>
        <w:tc>
          <w:tcPr>
            <w:tcW w:w="1077" w:type="dxa"/>
          </w:tcPr>
          <w:p w14:paraId="40E75748" w14:textId="0545EA27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1" w:type="dxa"/>
          </w:tcPr>
          <w:p w14:paraId="060C4DE9" w14:textId="5339C9BB" w:rsidR="00A579BA" w:rsidRDefault="00F059EB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434" w:type="dxa"/>
          </w:tcPr>
          <w:p w14:paraId="21159493" w14:textId="34A4E89E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813" w:type="dxa"/>
          </w:tcPr>
          <w:p w14:paraId="53F19654" w14:textId="2BB7BD85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vlastné imanie</w:t>
            </w:r>
          </w:p>
        </w:tc>
      </w:tr>
      <w:tr w:rsidR="00A579BA" w14:paraId="131F70BD" w14:textId="77777777" w:rsidTr="00F059EB">
        <w:tc>
          <w:tcPr>
            <w:tcW w:w="2547" w:type="dxa"/>
          </w:tcPr>
          <w:p w14:paraId="6C13C04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4CC58D9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51D67DB3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2CA128AD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3DA236D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579BA" w14:paraId="4910244C" w14:textId="77777777" w:rsidTr="00F059EB">
        <w:tc>
          <w:tcPr>
            <w:tcW w:w="2547" w:type="dxa"/>
          </w:tcPr>
          <w:p w14:paraId="3834BBD5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5A16A48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31B3D50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5B00F1B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4E45065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69DB231" w14:textId="42EE5D60" w:rsidR="00A579BA" w:rsidRDefault="00A579BA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FF58" w14:textId="0865140D" w:rsidR="00F059EB" w:rsidRDefault="00F059EB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Vysvetlivky k oprave chýb minulých účtovných </w:t>
      </w:r>
      <w:r w:rsidRPr="00F059EB">
        <w:rPr>
          <w:rFonts w:ascii="Times New Roman" w:hAnsi="Times New Roman" w:cs="Times New Roman"/>
          <w:sz w:val="24"/>
          <w:szCs w:val="24"/>
          <w:u w:val="single"/>
        </w:rPr>
        <w:t>období:</w:t>
      </w:r>
    </w:p>
    <w:p w14:paraId="28BEF643" w14:textId="21CF7BD4" w:rsidR="00F059EB" w:rsidRDefault="00F059EB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schválení účtovnej závierky na valnom zhromaždení už nemožno otvárať účtovné knihy minulých účtovných období a prípadné opravy sa vykonajú v bežnom účtovnom období (§ 16/10, 11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2FCE374D" w14:textId="19CFFE0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5B502FF2" w14:textId="49994A07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Významné opravy chýb minulých účtovných období sa účtujú (§ 59/13 PU) – voči minulým výsledkom hospodárenia (voči vlastnému imaniu na účet 428 alebo 429).</w:t>
      </w:r>
    </w:p>
    <w:p w14:paraId="18B9BD98" w14:textId="17964EA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Hranicu významnosti si UJ stanoví individuálne v internej </w:t>
      </w:r>
      <w:r w:rsidR="009B4330">
        <w:rPr>
          <w:rFonts w:ascii="Times New Roman" w:hAnsi="Times New Roman" w:cs="Times New Roman"/>
          <w:sz w:val="24"/>
          <w:szCs w:val="24"/>
        </w:rPr>
        <w:t>účtovnej smernici (napr. 1 tisícina z brutto aktív).</w:t>
      </w:r>
    </w:p>
    <w:p w14:paraId="7C532E28" w14:textId="3B63A8F7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ukladaní pokuty za nesprávnosti v účtovníctve prihliadne daňový úrad aj na to, či UJ písomne ohlásila obsah a sumu vykonanej opravy chýb minulých účtovných období (§ 38/5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7955EC03" w14:textId="0ACB5618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chýb minulých účtovných období sa daňovo vysporiadajú podľa pravidiel v zákone o dani  z príjmov (§ 17/15, 29 ZDP) a pravidiel v daňovom poriadku (§ 16).</w:t>
      </w:r>
    </w:p>
    <w:p w14:paraId="35B294FC" w14:textId="5A341D3D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A5D5B" w14:textId="77777777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 xml:space="preserve">Čl. IV </w:t>
      </w:r>
    </w:p>
    <w:p w14:paraId="1C52A054" w14:textId="3C826D6B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>Informácie, ktoré vysvetľujú a dopĺňajú súvahu a výkaz ziskov a</w:t>
      </w:r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9B4330">
        <w:rPr>
          <w:rFonts w:ascii="Times New Roman" w:hAnsi="Times New Roman" w:cs="Times New Roman"/>
          <w:b/>
          <w:bCs/>
          <w:sz w:val="28"/>
          <w:szCs w:val="28"/>
        </w:rPr>
        <w:t>strát</w:t>
      </w:r>
    </w:p>
    <w:p w14:paraId="5F14609F" w14:textId="7ED13AB7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C67804" w14:textId="4E32810B" w:rsidR="009B4330" w:rsidRDefault="00B36149" w:rsidP="00B36149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36149">
        <w:rPr>
          <w:rFonts w:ascii="Times New Roman" w:hAnsi="Times New Roman" w:cs="Times New Roman"/>
          <w:sz w:val="24"/>
          <w:szCs w:val="24"/>
        </w:rPr>
        <w:t xml:space="preserve">Dlhodobý nehmotný majetok, ktorým je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  <w:u w:val="single"/>
        </w:rPr>
        <w:t xml:space="preserve"> alebo záporný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</w:rPr>
        <w:t xml:space="preserve"> -  dôvod jeho vzniku, spôsob výpočtu a prehodnotenie opodstatnenosti jeho výšky a odpisu jeho hodnoty.</w:t>
      </w:r>
    </w:p>
    <w:p w14:paraId="028D6408" w14:textId="05434301" w:rsidR="00B36149" w:rsidRDefault="00B36149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06E2468" w14:textId="75C8D2E6" w:rsidR="00B36149" w:rsidRDefault="00DE4778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Vysvetlivky: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r w:rsidR="00CE09BE">
        <w:rPr>
          <w:rFonts w:ascii="Times New Roman" w:hAnsi="Times New Roman" w:cs="Times New Roman"/>
          <w:sz w:val="24"/>
          <w:szCs w:val="24"/>
        </w:rPr>
        <w:t xml:space="preserve">účtovne odpíše do výnosov (075/551) </w:t>
      </w:r>
      <w:proofErr w:type="spellStart"/>
      <w:r w:rsidR="00CE09BE">
        <w:rPr>
          <w:rFonts w:ascii="Times New Roman" w:hAnsi="Times New Roman" w:cs="Times New Roman"/>
          <w:sz w:val="24"/>
          <w:szCs w:val="24"/>
        </w:rPr>
        <w:t>jednorázovo</w:t>
      </w:r>
      <w:proofErr w:type="spellEnd"/>
      <w:r w:rsidR="00CE09BE">
        <w:rPr>
          <w:rFonts w:ascii="Times New Roman" w:hAnsi="Times New Roman" w:cs="Times New Roman"/>
          <w:sz w:val="24"/>
          <w:szCs w:val="24"/>
        </w:rPr>
        <w:t xml:space="preserve"> v roku jeho vzniku (§ 37 PU). Daňovo</w:t>
      </w:r>
      <w:r w:rsidR="00270AF1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="00270AF1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270AF1">
        <w:rPr>
          <w:rFonts w:ascii="Times New Roman" w:hAnsi="Times New Roman" w:cs="Times New Roman"/>
          <w:sz w:val="24"/>
          <w:szCs w:val="24"/>
        </w:rPr>
        <w:t xml:space="preserve"> z podnikových kombinácií spravidla odpisuje najdlhšie</w:t>
      </w:r>
      <w:r w:rsidR="00BF570A">
        <w:rPr>
          <w:rFonts w:ascii="Times New Roman" w:hAnsi="Times New Roman" w:cs="Times New Roman"/>
          <w:sz w:val="24"/>
          <w:szCs w:val="24"/>
        </w:rPr>
        <w:t xml:space="preserve"> počas 7 rokov podľa pravidiel v zákone o dani z príjmov (§ 17/11; § 17a-17e ZDP).</w:t>
      </w:r>
    </w:p>
    <w:p w14:paraId="344FAC7A" w14:textId="6F98A5F3" w:rsidR="00BF570A" w:rsidRDefault="00BF570A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659971A" w14:textId="6606C4D7" w:rsidR="00BF570A" w:rsidRDefault="00BF570A" w:rsidP="00BF570A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Informácie o významných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položkách derivátov, majetku a záväzkoch zabezpečených derivátmi</w:t>
      </w:r>
      <w:r>
        <w:rPr>
          <w:rFonts w:ascii="Times New Roman" w:hAnsi="Times New Roman" w:cs="Times New Roman"/>
          <w:sz w:val="24"/>
          <w:szCs w:val="24"/>
        </w:rPr>
        <w:t xml:space="preserve"> (§ 16PU):</w:t>
      </w:r>
    </w:p>
    <w:p w14:paraId="4E234F1E" w14:textId="4DDCAD54" w:rsidR="00BF570A" w:rsidRDefault="00BF570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BF570A">
        <w:rPr>
          <w:rFonts w:ascii="Times New Roman" w:hAnsi="Times New Roman" w:cs="Times New Roman"/>
          <w:sz w:val="24"/>
          <w:szCs w:val="24"/>
        </w:rPr>
        <w:t>ri</w:t>
      </w:r>
      <w:r>
        <w:rPr>
          <w:rFonts w:ascii="Times New Roman" w:hAnsi="Times New Roman" w:cs="Times New Roman"/>
          <w:sz w:val="24"/>
          <w:szCs w:val="24"/>
        </w:rPr>
        <w:t>tom</w:t>
      </w:r>
      <w:r w:rsidRPr="00BF570A">
        <w:rPr>
          <w:rFonts w:ascii="Times New Roman" w:hAnsi="Times New Roman" w:cs="Times New Roman"/>
          <w:sz w:val="24"/>
          <w:szCs w:val="24"/>
        </w:rPr>
        <w:t xml:space="preserve"> sa uvádza forma </w:t>
      </w:r>
      <w:r>
        <w:rPr>
          <w:rFonts w:ascii="Times New Roman" w:hAnsi="Times New Roman" w:cs="Times New Roman"/>
          <w:sz w:val="24"/>
          <w:szCs w:val="24"/>
        </w:rPr>
        <w:t xml:space="preserve">tohto </w:t>
      </w:r>
      <w:r w:rsidRPr="00BF570A">
        <w:rPr>
          <w:rFonts w:ascii="Times New Roman" w:hAnsi="Times New Roman" w:cs="Times New Roman"/>
          <w:sz w:val="24"/>
          <w:szCs w:val="24"/>
        </w:rPr>
        <w:t>zabezpečenia a</w:t>
      </w:r>
      <w:r>
        <w:rPr>
          <w:rFonts w:ascii="Times New Roman" w:hAnsi="Times New Roman" w:cs="Times New Roman"/>
          <w:sz w:val="24"/>
          <w:szCs w:val="24"/>
        </w:rPr>
        <w:t xml:space="preserve"> uvádza sa </w:t>
      </w:r>
      <w:r w:rsidRPr="00BF570A">
        <w:rPr>
          <w:rFonts w:ascii="Times New Roman" w:hAnsi="Times New Roman" w:cs="Times New Roman"/>
          <w:sz w:val="24"/>
          <w:szCs w:val="24"/>
        </w:rPr>
        <w:t xml:space="preserve"> zmena reálnej hodnoty v priebehu účtovného obdobia</w:t>
      </w:r>
      <w:r>
        <w:rPr>
          <w:rFonts w:ascii="Times New Roman" w:hAnsi="Times New Roman" w:cs="Times New Roman"/>
          <w:sz w:val="24"/>
          <w:szCs w:val="24"/>
        </w:rPr>
        <w:t xml:space="preserve"> (§ 27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BF570A">
        <w:rPr>
          <w:rFonts w:ascii="Times New Roman" w:hAnsi="Times New Roman" w:cs="Times New Roman"/>
          <w:sz w:val="24"/>
          <w:szCs w:val="24"/>
        </w:rPr>
        <w:t xml:space="preserve">. Pre každý druh derivátov sa uvádza informácia o rozsahu a povahe týchto derivátov vrátane významných podmienok, ktoré môžu ovplyvniť sumu, načasovanie a mieru istoty budúcich peňažných tokov a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v tabuľkovej forme</w:t>
      </w:r>
      <w:r w:rsidRPr="00BF570A">
        <w:rPr>
          <w:rFonts w:ascii="Times New Roman" w:hAnsi="Times New Roman" w:cs="Times New Roman"/>
          <w:sz w:val="24"/>
          <w:szCs w:val="24"/>
        </w:rPr>
        <w:t xml:space="preserve"> informácia zobrazujúca pohyby v oceňovacích rozdieloch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z ocenenia reálnou hodnotou</w:t>
      </w:r>
      <w:r w:rsidRPr="00BF570A">
        <w:rPr>
          <w:rFonts w:ascii="Times New Roman" w:hAnsi="Times New Roman" w:cs="Times New Roman"/>
          <w:sz w:val="24"/>
          <w:szCs w:val="24"/>
        </w:rPr>
        <w:t xml:space="preserve"> počas účtovného obdobia.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2947"/>
        <w:gridCol w:w="850"/>
        <w:gridCol w:w="1190"/>
        <w:gridCol w:w="2238"/>
        <w:gridCol w:w="1984"/>
      </w:tblGrid>
      <w:tr w:rsidR="00BF570A" w14:paraId="7B17764B" w14:textId="77777777" w:rsidTr="00CE612A">
        <w:tc>
          <w:tcPr>
            <w:tcW w:w="2947" w:type="dxa"/>
          </w:tcPr>
          <w:p w14:paraId="4AB15EF6" w14:textId="4517DEAB" w:rsidR="00BF570A" w:rsidRPr="00BF570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 derivátov</w:t>
            </w:r>
          </w:p>
        </w:tc>
        <w:tc>
          <w:tcPr>
            <w:tcW w:w="850" w:type="dxa"/>
          </w:tcPr>
          <w:p w14:paraId="1194D14C" w14:textId="5E4418E5" w:rsidR="00BF570A" w:rsidRPr="00CE612A" w:rsidRDefault="00CE612A" w:rsidP="00BF570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0" w:type="dxa"/>
          </w:tcPr>
          <w:p w14:paraId="152E007E" w14:textId="756AAB2A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238" w:type="dxa"/>
          </w:tcPr>
          <w:p w14:paraId="20D597E0" w14:textId="7341008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984" w:type="dxa"/>
          </w:tcPr>
          <w:p w14:paraId="3D302565" w14:textId="1A0CF21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imanie</w:t>
            </w:r>
          </w:p>
        </w:tc>
      </w:tr>
      <w:tr w:rsidR="00BF570A" w14:paraId="48DFE3F8" w14:textId="77777777" w:rsidTr="00CE612A">
        <w:tc>
          <w:tcPr>
            <w:tcW w:w="2947" w:type="dxa"/>
          </w:tcPr>
          <w:p w14:paraId="4E221CF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0DBD59F1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343026D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364F4AC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1AF5202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570A" w14:paraId="0133EE55" w14:textId="77777777" w:rsidTr="00CE612A">
        <w:tc>
          <w:tcPr>
            <w:tcW w:w="2947" w:type="dxa"/>
          </w:tcPr>
          <w:p w14:paraId="50396C79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6032D75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02F3B0A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59CBE32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DD5769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F249E2" w14:textId="6C3B8400" w:rsidR="00BF570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612A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 xml:space="preserve">: Prvotné ocenenie reálnou hodnotou (§ 254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 počas účtovného obdobia – bez náplne.</w:t>
      </w:r>
    </w:p>
    <w:p w14:paraId="4243E8D0" w14:textId="70C30F6B" w:rsidR="00CE612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Reálnou hodnotou – sa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oceňujú, okrem iného aj deriváty a majetok a záväzky zabezpečené derivátmi (§ 27/1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); precenenie na reálnu hodnotu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sa účtuje (§ 16 PU) – výsledkovo (56x, 66x) alebo súvahovo (účet 414)/</w:t>
      </w:r>
      <w:r w:rsidR="00FF083D">
        <w:rPr>
          <w:rFonts w:ascii="Times New Roman" w:hAnsi="Times New Roman" w:cs="Times New Roman"/>
          <w:sz w:val="24"/>
          <w:szCs w:val="24"/>
        </w:rPr>
        <w:t>.</w:t>
      </w:r>
    </w:p>
    <w:p w14:paraId="06337FAC" w14:textId="2D92F5B0" w:rsidR="00FF083D" w:rsidRDefault="00FF083D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E829B1" w14:textId="06C8A51D" w:rsidR="005B7C9C" w:rsidRPr="005B7C9C" w:rsidRDefault="005B7C9C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7C9C">
        <w:rPr>
          <w:rFonts w:ascii="Times New Roman" w:hAnsi="Times New Roman" w:cs="Times New Roman"/>
          <w:sz w:val="24"/>
          <w:szCs w:val="24"/>
        </w:rPr>
        <w:t>3</w:t>
      </w:r>
      <w:r w:rsidR="00524FD8"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5B7C9C">
        <w:rPr>
          <w:rFonts w:ascii="Times New Roman" w:hAnsi="Times New Roman" w:cs="Times New Roman"/>
          <w:sz w:val="24"/>
          <w:szCs w:val="24"/>
        </w:rPr>
        <w:t>elkov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B7C9C">
        <w:rPr>
          <w:rFonts w:ascii="Times New Roman" w:hAnsi="Times New Roman" w:cs="Times New Roman"/>
          <w:sz w:val="24"/>
          <w:szCs w:val="24"/>
        </w:rPr>
        <w:t xml:space="preserve"> sum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 </w:t>
      </w:r>
      <w:r w:rsidRPr="005B7C9C">
        <w:rPr>
          <w:rFonts w:ascii="Times New Roman" w:hAnsi="Times New Roman" w:cs="Times New Roman"/>
          <w:sz w:val="24"/>
          <w:szCs w:val="24"/>
          <w:u w:val="single"/>
        </w:rPr>
        <w:t>záväzkov so zostatkovou dobou splatnosti dlhšou ako päť rokov:</w:t>
      </w:r>
    </w:p>
    <w:p w14:paraId="59886F14" w14:textId="77777777" w:rsidR="005B7C9C" w:rsidRPr="00B36149" w:rsidRDefault="00CE09BE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B7C9C" w:rsidRPr="005B7C9C" w14:paraId="2D29C104" w14:textId="77777777" w:rsidTr="005B7C9C">
        <w:tc>
          <w:tcPr>
            <w:tcW w:w="3020" w:type="dxa"/>
          </w:tcPr>
          <w:p w14:paraId="6A0957EF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412486C" w14:textId="2176EA5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468BE651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C7135B8" w14:textId="037F527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7E26AF8D" w14:textId="0F71F2A9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B7C9C" w14:paraId="1FF21CE2" w14:textId="77777777" w:rsidTr="005B7C9C">
        <w:tc>
          <w:tcPr>
            <w:tcW w:w="3020" w:type="dxa"/>
          </w:tcPr>
          <w:p w14:paraId="35DE759E" w14:textId="5F9C99AF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3021" w:type="dxa"/>
          </w:tcPr>
          <w:p w14:paraId="32530CF6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24F5AF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54D508" w14:textId="487491B3" w:rsidR="00B36149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Zostatková doba splatnosti záväzku alebo jeho časti – je rozdiel medzi dohodnutou dobou splatnosti záväzkov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dňom (§ 12 PU).</w:t>
      </w:r>
    </w:p>
    <w:p w14:paraId="3B066E06" w14:textId="00B7A889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C946C5" w14:textId="1BB02E2C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3b) Celková suma </w:t>
      </w:r>
      <w:r w:rsidRPr="00524FD8">
        <w:rPr>
          <w:rFonts w:ascii="Times New Roman" w:hAnsi="Times New Roman" w:cs="Times New Roman"/>
          <w:sz w:val="24"/>
          <w:szCs w:val="24"/>
          <w:u w:val="single"/>
        </w:rPr>
        <w:t>zabezpečených záväzkov</w:t>
      </w:r>
      <w:r>
        <w:rPr>
          <w:rFonts w:ascii="Times New Roman" w:hAnsi="Times New Roman" w:cs="Times New Roman"/>
          <w:sz w:val="24"/>
          <w:szCs w:val="24"/>
        </w:rPr>
        <w:t xml:space="preserve"> – opis a spôsob zabezpečenia 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375DD" w:rsidRPr="00524FD8" w14:paraId="10A65075" w14:textId="77777777" w:rsidTr="00E375DD">
        <w:tc>
          <w:tcPr>
            <w:tcW w:w="3020" w:type="dxa"/>
            <w:vMerge w:val="restart"/>
            <w:tcBorders>
              <w:right w:val="single" w:sz="4" w:space="0" w:color="auto"/>
            </w:tcBorders>
            <w:vAlign w:val="center"/>
          </w:tcPr>
          <w:p w14:paraId="7A7A85F6" w14:textId="77777777" w:rsid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8245EF9" w14:textId="6E8EE1D4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Zabezpečené záväzky</w:t>
            </w:r>
          </w:p>
        </w:tc>
        <w:tc>
          <w:tcPr>
            <w:tcW w:w="60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FBB6" w14:textId="615649CB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375DD" w14:paraId="77902B18" w14:textId="77777777" w:rsidTr="00FE63A1">
        <w:tc>
          <w:tcPr>
            <w:tcW w:w="3020" w:type="dxa"/>
            <w:vMerge/>
            <w:tcBorders>
              <w:right w:val="single" w:sz="4" w:space="0" w:color="auto"/>
            </w:tcBorders>
          </w:tcPr>
          <w:p w14:paraId="57695C17" w14:textId="77777777" w:rsidR="00E375DD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</w:tcBorders>
          </w:tcPr>
          <w:p w14:paraId="7FFEB20C" w14:textId="5A665329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375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zabezpečenia</w:t>
            </w:r>
          </w:p>
        </w:tc>
        <w:tc>
          <w:tcPr>
            <w:tcW w:w="3021" w:type="dxa"/>
            <w:tcBorders>
              <w:top w:val="single" w:sz="4" w:space="0" w:color="auto"/>
            </w:tcBorders>
          </w:tcPr>
          <w:p w14:paraId="69017270" w14:textId="3D60C8FA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záväzkov</w:t>
            </w:r>
          </w:p>
        </w:tc>
      </w:tr>
      <w:tr w:rsidR="00524FD8" w14:paraId="1B3FCC1E" w14:textId="77777777" w:rsidTr="00524FD8">
        <w:tc>
          <w:tcPr>
            <w:tcW w:w="3020" w:type="dxa"/>
          </w:tcPr>
          <w:p w14:paraId="70D233F2" w14:textId="5F8B3548" w:rsidR="00524FD8" w:rsidRDefault="00E375DD" w:rsidP="00E375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záložným právom</w:t>
            </w:r>
          </w:p>
        </w:tc>
        <w:tc>
          <w:tcPr>
            <w:tcW w:w="3021" w:type="dxa"/>
          </w:tcPr>
          <w:p w14:paraId="4B1FD169" w14:textId="126386BC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Záložné právo</w:t>
            </w:r>
          </w:p>
        </w:tc>
        <w:tc>
          <w:tcPr>
            <w:tcW w:w="3021" w:type="dxa"/>
          </w:tcPr>
          <w:p w14:paraId="1EB184C9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70C18E0E" w14:textId="77777777" w:rsidTr="00524FD8">
        <w:tc>
          <w:tcPr>
            <w:tcW w:w="3020" w:type="dxa"/>
          </w:tcPr>
          <w:p w14:paraId="79865E1B" w14:textId="3B7D9A7A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iným spôsobom</w:t>
            </w:r>
          </w:p>
        </w:tc>
        <w:tc>
          <w:tcPr>
            <w:tcW w:w="3021" w:type="dxa"/>
          </w:tcPr>
          <w:p w14:paraId="32D52F64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87D34A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55467F06" w14:textId="77777777" w:rsidTr="00524FD8">
        <w:tc>
          <w:tcPr>
            <w:tcW w:w="3020" w:type="dxa"/>
          </w:tcPr>
          <w:p w14:paraId="4C739690" w14:textId="4573B70E" w:rsidR="00524FD8" w:rsidRPr="00E375DD" w:rsidRDefault="00E375DD" w:rsidP="00E375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Celková suma zabezpečených záväzkov:</w:t>
            </w:r>
          </w:p>
        </w:tc>
        <w:tc>
          <w:tcPr>
            <w:tcW w:w="3021" w:type="dxa"/>
          </w:tcPr>
          <w:p w14:paraId="0963E650" w14:textId="03425FB1" w:rsidR="00524FD8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</w:tcPr>
          <w:p w14:paraId="58872FED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0E802BC" w14:textId="245DC758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6A0962" w14:textId="40BCA42A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 xml:space="preserve">4) </w:t>
      </w:r>
      <w:r w:rsidRPr="005A0717">
        <w:rPr>
          <w:rFonts w:ascii="Times New Roman" w:hAnsi="Times New Roman" w:cs="Times New Roman"/>
          <w:sz w:val="24"/>
          <w:szCs w:val="24"/>
          <w:u w:val="single"/>
        </w:rPr>
        <w:t>Informácie o vlastných akciách:</w:t>
      </w:r>
    </w:p>
    <w:p w14:paraId="1E05D4F5" w14:textId="79285B93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a) dôvod nadobudnutia vlastných akcií počas účtovného obdobia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5955EED2" w14:textId="77777777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b</w:t>
      </w:r>
      <w:r w:rsidR="005A0717">
        <w:rPr>
          <w:rFonts w:ascii="Times New Roman" w:hAnsi="Times New Roman" w:cs="Times New Roman"/>
          <w:sz w:val="24"/>
          <w:szCs w:val="24"/>
        </w:rPr>
        <w:t>1</w:t>
      </w:r>
      <w:r w:rsidRPr="00E375DD">
        <w:rPr>
          <w:rFonts w:ascii="Times New Roman" w:hAnsi="Times New Roman" w:cs="Times New Roman"/>
          <w:sz w:val="24"/>
          <w:szCs w:val="24"/>
        </w:rPr>
        <w:t xml:space="preserve">) 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61AEAC8" w14:textId="77777777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E375DD" w:rsidRPr="00E375D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E375DD" w:rsidRPr="00E375DD">
        <w:rPr>
          <w:rFonts w:ascii="Times New Roman" w:hAnsi="Times New Roman" w:cs="Times New Roman"/>
          <w:sz w:val="24"/>
          <w:szCs w:val="24"/>
        </w:rPr>
        <w:t xml:space="preserve"> počet a protihodnota, za ktorú sa vlastné akcie počas účtovného obdobia nadobudli a počet a hodnota, za ktorú sa vlastné akcie počas účtovného obdobia previedli na inú osobu, </w:t>
      </w:r>
    </w:p>
    <w:p w14:paraId="3CB53DBC" w14:textId="25C2F09D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c) poče</w:t>
      </w:r>
      <w:r w:rsidR="005A0717">
        <w:rPr>
          <w:rFonts w:ascii="Times New Roman" w:hAnsi="Times New Roman" w:cs="Times New Roman"/>
          <w:sz w:val="24"/>
          <w:szCs w:val="24"/>
        </w:rPr>
        <w:t>t</w:t>
      </w:r>
      <w:r w:rsidRPr="00E375DD">
        <w:rPr>
          <w:rFonts w:ascii="Times New Roman" w:hAnsi="Times New Roman" w:cs="Times New Roman"/>
          <w:sz w:val="24"/>
          <w:szCs w:val="24"/>
        </w:rPr>
        <w:t>, menovit</w:t>
      </w:r>
      <w:r w:rsidR="005A0717">
        <w:rPr>
          <w:rFonts w:ascii="Times New Roman" w:hAnsi="Times New Roman" w:cs="Times New Roman"/>
          <w:sz w:val="24"/>
          <w:szCs w:val="24"/>
        </w:rPr>
        <w:t>á</w:t>
      </w:r>
      <w:r w:rsidRPr="00E375DD">
        <w:rPr>
          <w:rFonts w:ascii="Times New Roman" w:hAnsi="Times New Roman" w:cs="Times New Roman"/>
          <w:sz w:val="24"/>
          <w:szCs w:val="24"/>
        </w:rPr>
        <w:t xml:space="preserve"> 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 xml:space="preserve"> a protihodnot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>, za ktorú sa vlastné akcie nadobudli a ktoré účtovná jednotka má v držbe k poslednému dňu účtovného obdobia; uvádza sa aj ich percentuálny podiel na upísanom základnom imaní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42957F7E" w14:textId="15B6D75D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717">
        <w:rPr>
          <w:rFonts w:ascii="Times New Roman" w:hAnsi="Times New Roman" w:cs="Times New Roman"/>
          <w:sz w:val="24"/>
          <w:szCs w:val="24"/>
        </w:rPr>
        <w:t xml:space="preserve">5) </w:t>
      </w:r>
      <w:r>
        <w:rPr>
          <w:rFonts w:ascii="Times New Roman" w:hAnsi="Times New Roman" w:cs="Times New Roman"/>
          <w:sz w:val="24"/>
          <w:szCs w:val="24"/>
        </w:rPr>
        <w:t>K vlastnému imaniu sa uvádza i</w:t>
      </w:r>
      <w:r w:rsidRPr="005A0717">
        <w:rPr>
          <w:rFonts w:ascii="Times New Roman" w:hAnsi="Times New Roman" w:cs="Times New Roman"/>
          <w:sz w:val="24"/>
          <w:szCs w:val="24"/>
        </w:rPr>
        <w:t>nformácia</w:t>
      </w:r>
      <w:r>
        <w:rPr>
          <w:rFonts w:ascii="Times New Roman" w:hAnsi="Times New Roman" w:cs="Times New Roman"/>
          <w:sz w:val="24"/>
          <w:szCs w:val="24"/>
        </w:rPr>
        <w:t>, či</w:t>
      </w:r>
      <w:r w:rsidRPr="005A0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účtovná jednotka tvorila </w:t>
      </w:r>
      <w:r>
        <w:rPr>
          <w:rFonts w:ascii="Times New Roman" w:hAnsi="Times New Roman" w:cs="Times New Roman"/>
          <w:sz w:val="24"/>
          <w:szCs w:val="24"/>
          <w:u w:val="single"/>
        </w:rPr>
        <w:t>kapitálový fond z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> </w:t>
      </w:r>
      <w:r>
        <w:rPr>
          <w:rFonts w:ascii="Times New Roman" w:hAnsi="Times New Roman" w:cs="Times New Roman"/>
          <w:sz w:val="24"/>
          <w:szCs w:val="24"/>
          <w:u w:val="single"/>
        </w:rPr>
        <w:t>príspevkov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2E77">
        <w:rPr>
          <w:rFonts w:ascii="Times New Roman" w:hAnsi="Times New Roman" w:cs="Times New Roman"/>
          <w:sz w:val="24"/>
          <w:szCs w:val="24"/>
        </w:rPr>
        <w:t>podľa § 123 ods. 2 alebo § 217a Obchodného zákonníka v znení neskorších predpisov:</w:t>
      </w:r>
    </w:p>
    <w:p w14:paraId="2270BC2A" w14:textId="758C91C6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6) Informácie o sume a dôvodoch vzniku jednotlivých položiek </w:t>
      </w:r>
      <w:r>
        <w:rPr>
          <w:rFonts w:ascii="Times New Roman" w:hAnsi="Times New Roman" w:cs="Times New Roman"/>
          <w:b/>
          <w:bCs/>
          <w:sz w:val="24"/>
          <w:szCs w:val="24"/>
        </w:rPr>
        <w:t>nákladov alebo výnosov</w:t>
      </w:r>
      <w:r>
        <w:rPr>
          <w:rFonts w:ascii="Times New Roman" w:hAnsi="Times New Roman" w:cs="Times New Roman"/>
          <w:sz w:val="24"/>
          <w:szCs w:val="24"/>
        </w:rPr>
        <w:t xml:space="preserve">, ktoré majú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výnimočný rozsah alebo výskyt </w:t>
      </w:r>
      <w:r>
        <w:rPr>
          <w:rFonts w:ascii="Times New Roman" w:hAnsi="Times New Roman" w:cs="Times New Roman"/>
          <w:sz w:val="24"/>
          <w:szCs w:val="24"/>
        </w:rPr>
        <w:t>(napr. výnosy z predaja podniku alebo jeho časti, náklady z dôvodu predaja podniku alebo jeho časti, škody z dôvodu živelných pohrôm).</w:t>
      </w:r>
    </w:p>
    <w:p w14:paraId="2CC1479A" w14:textId="0DE49D5D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835060" w14:textId="77777777" w:rsid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 xml:space="preserve">Čl. V </w:t>
      </w:r>
    </w:p>
    <w:p w14:paraId="0CE43A97" w14:textId="7BC2F6CF" w:rsidR="00332E77" w:rsidRP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>Informácie o iných aktívach a iných pasívach</w:t>
      </w:r>
    </w:p>
    <w:p w14:paraId="5E7E6F77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1a)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Podmienený majetok - </w:t>
      </w:r>
      <w:r w:rsidRPr="00332E77">
        <w:rPr>
          <w:rFonts w:ascii="Times New Roman" w:hAnsi="Times New Roman" w:cs="Times New Roman"/>
          <w:sz w:val="24"/>
          <w:szCs w:val="24"/>
        </w:rPr>
        <w:t xml:space="preserve"> opis a hodnota p</w:t>
      </w:r>
      <w:r>
        <w:rPr>
          <w:rFonts w:ascii="Times New Roman" w:hAnsi="Times New Roman" w:cs="Times New Roman"/>
          <w:sz w:val="24"/>
          <w:szCs w:val="24"/>
        </w:rPr>
        <w:t>ravde</w:t>
      </w:r>
      <w:r w:rsidR="007F08A3">
        <w:rPr>
          <w:rFonts w:ascii="Times New Roman" w:hAnsi="Times New Roman" w:cs="Times New Roman"/>
          <w:sz w:val="24"/>
          <w:szCs w:val="24"/>
        </w:rPr>
        <w:t xml:space="preserve">podobného </w:t>
      </w:r>
      <w:r w:rsidRPr="00332E77">
        <w:rPr>
          <w:rFonts w:ascii="Times New Roman" w:hAnsi="Times New Roman" w:cs="Times New Roman"/>
          <w:sz w:val="24"/>
          <w:szCs w:val="24"/>
        </w:rPr>
        <w:t xml:space="preserve">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týmto majetkom sú napríklad práva zo servisných zmlúv, poistných zmlúv, koncesionárskych zmlúv, licenčných zmlúv, </w:t>
      </w:r>
    </w:p>
    <w:p w14:paraId="7354E8BB" w14:textId="77777777" w:rsidR="007F08A3" w:rsidRDefault="007F08A3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32E77" w:rsidRPr="00332E77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Podmienené záväzky -</w:t>
      </w:r>
      <w:r w:rsidR="00332E77" w:rsidRPr="00332E77">
        <w:rPr>
          <w:rFonts w:ascii="Times New Roman" w:hAnsi="Times New Roman" w:cs="Times New Roman"/>
          <w:sz w:val="24"/>
          <w:szCs w:val="24"/>
        </w:rPr>
        <w:t xml:space="preserve">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6525A294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675B807" w14:textId="5DFBC288" w:rsidR="00332E77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</w:p>
    <w:p w14:paraId="2C18D154" w14:textId="4F235FC0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2)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Ostatné finančné povinnost</w:t>
      </w:r>
      <w:r>
        <w:rPr>
          <w:rFonts w:ascii="Times New Roman" w:hAnsi="Times New Roman" w:cs="Times New Roman"/>
          <w:b/>
          <w:bCs/>
          <w:sz w:val="24"/>
          <w:szCs w:val="24"/>
        </w:rPr>
        <w:t>i,</w:t>
      </w:r>
      <w:r w:rsidRPr="00AA080F">
        <w:rPr>
          <w:rFonts w:ascii="Times New Roman" w:hAnsi="Times New Roman" w:cs="Times New Roman"/>
          <w:sz w:val="24"/>
          <w:szCs w:val="24"/>
        </w:rPr>
        <w:t xml:space="preserve"> ktoré sa nevykazujú v účtovných výkazoch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AA080F">
        <w:rPr>
          <w:rFonts w:ascii="Times New Roman" w:hAnsi="Times New Roman" w:cs="Times New Roman"/>
          <w:sz w:val="24"/>
          <w:szCs w:val="24"/>
        </w:rPr>
        <w:t xml:space="preserve"> napríklad zákonná povinnosť alebo zmluvná povinnosť odobrať určité množstvo produktu, uskutočniť investície a veľké opravy. </w:t>
      </w:r>
    </w:p>
    <w:p w14:paraId="1E62CCA0" w14:textId="0100E904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3)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Podsúvahov</w:t>
      </w:r>
      <w:r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 xml:space="preserve"> účt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y - </w:t>
      </w:r>
      <w:r w:rsidRPr="00AA080F">
        <w:rPr>
          <w:rFonts w:ascii="Times New Roman" w:hAnsi="Times New Roman" w:cs="Times New Roman"/>
          <w:sz w:val="24"/>
          <w:szCs w:val="24"/>
        </w:rPr>
        <w:t xml:space="preserve"> uvádzajú</w:t>
      </w:r>
      <w:r>
        <w:rPr>
          <w:rFonts w:ascii="Times New Roman" w:hAnsi="Times New Roman" w:cs="Times New Roman"/>
          <w:sz w:val="24"/>
          <w:szCs w:val="24"/>
        </w:rPr>
        <w:t xml:space="preserve"> sa</w:t>
      </w:r>
      <w:r w:rsidRPr="00AA080F">
        <w:rPr>
          <w:rFonts w:ascii="Times New Roman" w:hAnsi="Times New Roman" w:cs="Times New Roman"/>
          <w:sz w:val="24"/>
          <w:szCs w:val="24"/>
        </w:rPr>
        <w:t xml:space="preserve"> informácie o významných položkách</w:t>
      </w:r>
      <w:r>
        <w:rPr>
          <w:rFonts w:ascii="Times New Roman" w:hAnsi="Times New Roman" w:cs="Times New Roman"/>
          <w:sz w:val="24"/>
          <w:szCs w:val="24"/>
        </w:rPr>
        <w:t xml:space="preserve"> sledovaných na podsúvahových účtoch (§ 85 PU)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7144D" w:rsidRPr="00E7144D" w14:paraId="2476860C" w14:textId="77777777" w:rsidTr="00E7144D">
        <w:tc>
          <w:tcPr>
            <w:tcW w:w="3020" w:type="dxa"/>
          </w:tcPr>
          <w:p w14:paraId="63DC5B12" w14:textId="307669C4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Názov podsúvahovej položky</w:t>
            </w:r>
          </w:p>
        </w:tc>
        <w:tc>
          <w:tcPr>
            <w:tcW w:w="3021" w:type="dxa"/>
          </w:tcPr>
          <w:p w14:paraId="2F513909" w14:textId="77777777" w:rsid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79EB35C" w14:textId="0EBACCD8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E538087" w14:textId="405B6EEA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7144D" w14:paraId="37E71604" w14:textId="77777777" w:rsidTr="00E7144D">
        <w:tc>
          <w:tcPr>
            <w:tcW w:w="3020" w:type="dxa"/>
          </w:tcPr>
          <w:p w14:paraId="72014D61" w14:textId="0A3E6720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</w:t>
            </w:r>
          </w:p>
        </w:tc>
        <w:tc>
          <w:tcPr>
            <w:tcW w:w="3021" w:type="dxa"/>
          </w:tcPr>
          <w:p w14:paraId="370265F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0EABF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1F43DE7" w14:textId="77777777" w:rsidTr="00E7144D">
        <w:tc>
          <w:tcPr>
            <w:tcW w:w="3020" w:type="dxa"/>
          </w:tcPr>
          <w:p w14:paraId="37446CCC" w14:textId="2D922C6C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3021" w:type="dxa"/>
          </w:tcPr>
          <w:p w14:paraId="570EA3A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67AA0E52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15C98E79" w14:textId="77777777" w:rsidTr="00E7144D">
        <w:tc>
          <w:tcPr>
            <w:tcW w:w="3020" w:type="dxa"/>
          </w:tcPr>
          <w:p w14:paraId="11F77FCB" w14:textId="5AD51745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opcií</w:t>
            </w:r>
          </w:p>
        </w:tc>
        <w:tc>
          <w:tcPr>
            <w:tcW w:w="3021" w:type="dxa"/>
          </w:tcPr>
          <w:p w14:paraId="5EEE3D0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4A9164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3DF5161" w14:textId="77777777" w:rsidTr="00E7144D">
        <w:tc>
          <w:tcPr>
            <w:tcW w:w="3020" w:type="dxa"/>
          </w:tcPr>
          <w:p w14:paraId="706B6D3A" w14:textId="34CEB6F4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 opcií</w:t>
            </w:r>
          </w:p>
        </w:tc>
        <w:tc>
          <w:tcPr>
            <w:tcW w:w="3021" w:type="dxa"/>
          </w:tcPr>
          <w:p w14:paraId="644A4FE4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11E7C78E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51ABFA7A" w14:textId="77777777" w:rsidTr="00E7144D">
        <w:tc>
          <w:tcPr>
            <w:tcW w:w="3020" w:type="dxa"/>
          </w:tcPr>
          <w:p w14:paraId="2941B1F5" w14:textId="51CCFD82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 pohľadávky</w:t>
            </w:r>
          </w:p>
        </w:tc>
        <w:tc>
          <w:tcPr>
            <w:tcW w:w="3021" w:type="dxa"/>
          </w:tcPr>
          <w:p w14:paraId="5854D4E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979688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21033A14" w14:textId="77777777" w:rsidTr="00E7144D">
        <w:tc>
          <w:tcPr>
            <w:tcW w:w="3020" w:type="dxa"/>
          </w:tcPr>
          <w:p w14:paraId="11849755" w14:textId="60C2C0AF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Iné.........................</w:t>
            </w:r>
          </w:p>
        </w:tc>
        <w:tc>
          <w:tcPr>
            <w:tcW w:w="3021" w:type="dxa"/>
          </w:tcPr>
          <w:p w14:paraId="26AE53C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08CFA54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F7E1F9" w14:textId="2A66EAF1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F292" w14:textId="1B19AEC5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CDC7E5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30877B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9C3FAD8" w14:textId="77777777" w:rsidR="00BE01CA" w:rsidRDefault="00BE01CA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0B4B0F8" w14:textId="77777777" w:rsidR="00BE01CA" w:rsidRDefault="00BE01CA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B5B005" w14:textId="207A9846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Čl. VI </w:t>
      </w:r>
    </w:p>
    <w:p w14:paraId="3DE2E2E2" w14:textId="68FD9E7A" w:rsidR="00BA63CE" w:rsidRP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t>Udalosti, ktoré nastali po dni, ku ktorému sa zostavuje účtovná závierka</w:t>
      </w:r>
    </w:p>
    <w:p w14:paraId="196405EC" w14:textId="5C1FE0EE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Uvádzajú sa informácie o charaktere a finančnom vplyve významných udalostí, ktoré nastali </w:t>
      </w:r>
      <w:r w:rsidR="00EB5D65">
        <w:rPr>
          <w:rFonts w:ascii="Times New Roman" w:hAnsi="Times New Roman" w:cs="Times New Roman"/>
          <w:sz w:val="24"/>
          <w:szCs w:val="24"/>
        </w:rPr>
        <w:t xml:space="preserve">v čase po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 dni -</w:t>
      </w:r>
      <w:r w:rsidRPr="00BA63CE">
        <w:rPr>
          <w:rFonts w:ascii="Times New Roman" w:hAnsi="Times New Roman" w:cs="Times New Roman"/>
          <w:sz w:val="24"/>
          <w:szCs w:val="24"/>
        </w:rPr>
        <w:t xml:space="preserve"> do dňa zostavenia účtovnej závierky </w:t>
      </w:r>
      <w:r w:rsidR="00EB5D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. do dňa podpísania výkazov podľa § 17/5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) </w:t>
      </w:r>
      <w:r w:rsidRPr="00BA63CE">
        <w:rPr>
          <w:rFonts w:ascii="Times New Roman" w:hAnsi="Times New Roman" w:cs="Times New Roman"/>
          <w:sz w:val="24"/>
          <w:szCs w:val="24"/>
        </w:rPr>
        <w:t>a ktoré nie sú zohľadnené v súvahe alebo vo výkaze ziskov a strát, napríklad</w:t>
      </w:r>
      <w:r w:rsidR="00EB5D65">
        <w:rPr>
          <w:rFonts w:ascii="Times New Roman" w:hAnsi="Times New Roman" w:cs="Times New Roman"/>
          <w:sz w:val="24"/>
          <w:szCs w:val="24"/>
        </w:rPr>
        <w:t>:</w:t>
      </w:r>
    </w:p>
    <w:p w14:paraId="23B6BBD9" w14:textId="68E1DC5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a)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okles alebo zvýšen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ie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trhovej ceny finančného majetku</w:t>
      </w:r>
      <w:r w:rsidRPr="00BA63CE">
        <w:rPr>
          <w:rFonts w:ascii="Times New Roman" w:hAnsi="Times New Roman" w:cs="Times New Roman"/>
          <w:sz w:val="24"/>
          <w:szCs w:val="24"/>
        </w:rPr>
        <w:t xml:space="preserve"> ako dôsledku udalostí, ktoré nastali po dni, ku ktorému sa zostavuje účtovná závierka do dňa zostavenia účtovnej závierky, s uvedením dôvodu týchto zmien, </w:t>
      </w:r>
    </w:p>
    <w:p w14:paraId="29A86480" w14:textId="3B7B79A2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b)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D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ôvod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y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pre zmenu výšky rezerv a opravných položiek</w:t>
      </w:r>
      <w:r w:rsidRPr="00BA63CE">
        <w:rPr>
          <w:rFonts w:ascii="Times New Roman" w:hAnsi="Times New Roman" w:cs="Times New Roman"/>
          <w:sz w:val="24"/>
          <w:szCs w:val="24"/>
        </w:rPr>
        <w:t xml:space="preserve">, ktoré nastali v dôsledku udalostí po dni, ku ktorému sa zostavuje účtovná závierka do dňa zostavenia účtovnej závierky, </w:t>
      </w:r>
    </w:p>
    <w:p w14:paraId="620D60CC" w14:textId="2B4B706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c)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spoločníkov účtovnej jednotky, </w:t>
      </w:r>
    </w:p>
    <w:p w14:paraId="69B7C9BF" w14:textId="2FB7792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d) </w:t>
      </w:r>
      <w:r w:rsidR="00BC72B9">
        <w:rPr>
          <w:rFonts w:ascii="Times New Roman" w:hAnsi="Times New Roman" w:cs="Times New Roman"/>
          <w:sz w:val="24"/>
          <w:szCs w:val="24"/>
        </w:rPr>
        <w:t>P</w:t>
      </w:r>
      <w:r w:rsidRPr="00BA63CE">
        <w:rPr>
          <w:rFonts w:ascii="Times New Roman" w:hAnsi="Times New Roman" w:cs="Times New Roman"/>
          <w:sz w:val="24"/>
          <w:szCs w:val="24"/>
        </w:rPr>
        <w:t>rijat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rozhodnutia o predaji účtovnej jednotky alebo jej časti, </w:t>
      </w:r>
    </w:p>
    <w:p w14:paraId="4CD63A50" w14:textId="3FD53AA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e)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významných položiek dlhodobého finančného majetku, </w:t>
      </w:r>
    </w:p>
    <w:p w14:paraId="686E7B86" w14:textId="1BE7A809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f)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ačat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ukončen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činnosti časti účtovnej jednotky, napríklad odštepného závodu, organizačnej zložky, prevádzkarne, </w:t>
      </w:r>
    </w:p>
    <w:p w14:paraId="31DE3C1D" w14:textId="7B6AC15C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>g) vydan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dlhopis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in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cenn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papier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9EBCD6D" w14:textId="522A51AF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h)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lúčen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splynut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rozdelen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zmen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právnej formy účtovnej jednotky, </w:t>
      </w:r>
    </w:p>
    <w:p w14:paraId="110B75F3" w14:textId="380C3B8A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i) </w:t>
      </w:r>
      <w:r w:rsidR="00BC72B9">
        <w:rPr>
          <w:rFonts w:ascii="Times New Roman" w:hAnsi="Times New Roman" w:cs="Times New Roman"/>
          <w:sz w:val="24"/>
          <w:szCs w:val="24"/>
        </w:rPr>
        <w:t>M</w:t>
      </w:r>
      <w:r w:rsidRPr="00BA63CE">
        <w:rPr>
          <w:rFonts w:ascii="Times New Roman" w:hAnsi="Times New Roman" w:cs="Times New Roman"/>
          <w:sz w:val="24"/>
          <w:szCs w:val="24"/>
        </w:rPr>
        <w:t>imoriadn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 udalosti, ak majú vplyv na hospodárenie účtovnej jednotky, napríklad  živeln</w:t>
      </w:r>
      <w:r w:rsidR="00BC72B9">
        <w:rPr>
          <w:rFonts w:ascii="Times New Roman" w:hAnsi="Times New Roman" w:cs="Times New Roman"/>
          <w:sz w:val="24"/>
          <w:szCs w:val="24"/>
        </w:rPr>
        <w:t>á</w:t>
      </w:r>
      <w:r w:rsidRPr="00BA63CE">
        <w:rPr>
          <w:rFonts w:ascii="Times New Roman" w:hAnsi="Times New Roman" w:cs="Times New Roman"/>
          <w:sz w:val="24"/>
          <w:szCs w:val="24"/>
        </w:rPr>
        <w:t xml:space="preserve"> pohrom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3528C57" w14:textId="0DCB9D21" w:rsidR="00E7144D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j)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ískan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odobrat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licencií alebo iných povolení významných pre činnosť účtovnej jednotky </w:t>
      </w:r>
    </w:p>
    <w:p w14:paraId="5757B5F5" w14:textId="3AF670D8" w:rsidR="00BC72B9" w:rsidRDefault="00BC72B9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/Vysvetlivky: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Následná udalosť </w:t>
      </w:r>
      <w:r>
        <w:rPr>
          <w:rFonts w:ascii="Times New Roman" w:hAnsi="Times New Roman" w:cs="Times New Roman"/>
          <w:sz w:val="24"/>
          <w:szCs w:val="24"/>
        </w:rPr>
        <w:t>– udalosť, ktorá sa stala následne</w:t>
      </w:r>
      <w:r w:rsidR="008F483C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dni do dňa podpísania výkazov – </w:t>
      </w:r>
      <w:r w:rsidR="008F483C" w:rsidRPr="008F483C">
        <w:rPr>
          <w:rFonts w:ascii="Times New Roman" w:hAnsi="Times New Roman" w:cs="Times New Roman"/>
          <w:sz w:val="24"/>
          <w:szCs w:val="24"/>
        </w:rPr>
        <w:t>uvádza sa v poznámkach.</w:t>
      </w:r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Upravujúci </w:t>
      </w:r>
      <w:proofErr w:type="spellStart"/>
      <w:r w:rsidR="008F483C">
        <w:rPr>
          <w:rFonts w:ascii="Times New Roman" w:hAnsi="Times New Roman" w:cs="Times New Roman"/>
          <w:sz w:val="24"/>
          <w:szCs w:val="24"/>
          <w:u w:val="single"/>
        </w:rPr>
        <w:t>závierkový</w:t>
      </w:r>
      <w:proofErr w:type="spellEnd"/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účtovný prípad</w:t>
      </w:r>
      <w:r w:rsidR="008F483C">
        <w:rPr>
          <w:rFonts w:ascii="Times New Roman" w:hAnsi="Times New Roman" w:cs="Times New Roman"/>
          <w:sz w:val="24"/>
          <w:szCs w:val="24"/>
        </w:rPr>
        <w:t xml:space="preserve"> – stal sa do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závierkového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dňa, len bol zistený do dňa podpísania výkazov – riadne sa účtuje do hlavnej knihy a riadne sa vykazuje vo výkazoch (§ 17/8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>; § 2a; §18/9; § 19/6; § 48/3; § 50/6 PU/.</w:t>
      </w:r>
    </w:p>
    <w:p w14:paraId="1B53E670" w14:textId="7CBC139A" w:rsidR="008F483C" w:rsidRDefault="008F483C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4CF64D" w14:textId="77777777" w:rsidR="00F646DE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 xml:space="preserve">Čl. VII </w:t>
      </w:r>
    </w:p>
    <w:p w14:paraId="5648EEA2" w14:textId="3A918EF0" w:rsidR="008F483C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>Ostatné informácie</w:t>
      </w:r>
    </w:p>
    <w:p w14:paraId="7D25520C" w14:textId="443232E5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výlučnom práve poskytovať služby vo verejnom záujme:</w:t>
      </w:r>
    </w:p>
    <w:p w14:paraId="54D749B7" w14:textId="68D7CE60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osobitnej kategórii priemyselnej výroby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3A15266C" w14:textId="27029ECC" w:rsidR="00F646DE" w:rsidRP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finančných vzťahoch s orgánmi verejnej moci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0329DF8B" w14:textId="197C2369" w:rsidR="00F646DE" w:rsidRPr="008F483C" w:rsidRDefault="00F646DE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F646DE" w:rsidRPr="008F483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777B29" w14:textId="77777777" w:rsidR="00C068D7" w:rsidRDefault="00C068D7" w:rsidP="00416DCA">
      <w:pPr>
        <w:spacing w:after="0" w:line="240" w:lineRule="auto"/>
      </w:pPr>
      <w:r>
        <w:separator/>
      </w:r>
    </w:p>
  </w:endnote>
  <w:endnote w:type="continuationSeparator" w:id="0">
    <w:p w14:paraId="4A7DE7A3" w14:textId="77777777" w:rsidR="00C068D7" w:rsidRDefault="00C068D7" w:rsidP="00416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26955387"/>
      <w:docPartObj>
        <w:docPartGallery w:val="Page Numbers (Bottom of Page)"/>
        <w:docPartUnique/>
      </w:docPartObj>
    </w:sdtPr>
    <w:sdtContent>
      <w:p w14:paraId="4F5D952F" w14:textId="78DC26BE" w:rsidR="00D649EC" w:rsidRDefault="00D649E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5F74828" w14:textId="77777777" w:rsidR="00D649EC" w:rsidRDefault="00D649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FECF8A" w14:textId="77777777" w:rsidR="00C068D7" w:rsidRDefault="00C068D7" w:rsidP="00416DCA">
      <w:pPr>
        <w:spacing w:after="0" w:line="240" w:lineRule="auto"/>
      </w:pPr>
      <w:r>
        <w:separator/>
      </w:r>
    </w:p>
  </w:footnote>
  <w:footnote w:type="continuationSeparator" w:id="0">
    <w:p w14:paraId="2AB2D222" w14:textId="77777777" w:rsidR="00C068D7" w:rsidRDefault="00C068D7" w:rsidP="00416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FE621" w14:textId="77777777" w:rsidR="00D649EC" w:rsidRDefault="00416DCA" w:rsidP="00416DCA">
    <w:pPr>
      <w:pStyle w:val="Hlavika"/>
    </w:pPr>
    <w:r>
      <w:t>Poznámky ÚČ POD 3-01</w:t>
    </w:r>
    <w:r>
      <w:tab/>
    </w:r>
    <w:r w:rsidR="00D649EC">
      <w:t>IČO: 31388370              DIČ: 2020321105</w:t>
    </w:r>
  </w:p>
  <w:p w14:paraId="2F0DA363" w14:textId="3941E528" w:rsidR="00D649EC" w:rsidRPr="00416DCA" w:rsidRDefault="00D649EC" w:rsidP="00416DCA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E4E40"/>
    <w:multiLevelType w:val="hybridMultilevel"/>
    <w:tmpl w:val="AE28BB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0F7311"/>
    <w:multiLevelType w:val="hybridMultilevel"/>
    <w:tmpl w:val="08A283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190CAC"/>
    <w:multiLevelType w:val="hybridMultilevel"/>
    <w:tmpl w:val="81F2B7EC"/>
    <w:lvl w:ilvl="0" w:tplc="B95211DA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1806C0"/>
    <w:multiLevelType w:val="hybridMultilevel"/>
    <w:tmpl w:val="408475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EB088B"/>
    <w:multiLevelType w:val="hybridMultilevel"/>
    <w:tmpl w:val="515A6E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D915BB"/>
    <w:multiLevelType w:val="hybridMultilevel"/>
    <w:tmpl w:val="1A86CF26"/>
    <w:lvl w:ilvl="0" w:tplc="AE30F79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F56125"/>
    <w:multiLevelType w:val="hybridMultilevel"/>
    <w:tmpl w:val="6776ABBA"/>
    <w:lvl w:ilvl="0" w:tplc="96967B02">
      <w:start w:val="1"/>
      <w:numFmt w:val="decimal"/>
      <w:lvlText w:val="%1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928031017">
    <w:abstractNumId w:val="4"/>
  </w:num>
  <w:num w:numId="2" w16cid:durableId="1088310111">
    <w:abstractNumId w:val="6"/>
  </w:num>
  <w:num w:numId="3" w16cid:durableId="1175654694">
    <w:abstractNumId w:val="5"/>
  </w:num>
  <w:num w:numId="4" w16cid:durableId="2122454334">
    <w:abstractNumId w:val="2"/>
  </w:num>
  <w:num w:numId="5" w16cid:durableId="1189753022">
    <w:abstractNumId w:val="3"/>
  </w:num>
  <w:num w:numId="6" w16cid:durableId="1289773224">
    <w:abstractNumId w:val="0"/>
  </w:num>
  <w:num w:numId="7" w16cid:durableId="1553343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1BA"/>
    <w:rsid w:val="00007D5D"/>
    <w:rsid w:val="00044065"/>
    <w:rsid w:val="000F57CA"/>
    <w:rsid w:val="001E56C4"/>
    <w:rsid w:val="00213234"/>
    <w:rsid w:val="00270AF1"/>
    <w:rsid w:val="00332E77"/>
    <w:rsid w:val="003556EA"/>
    <w:rsid w:val="00380BAF"/>
    <w:rsid w:val="003C227E"/>
    <w:rsid w:val="003F7DAC"/>
    <w:rsid w:val="00416DCA"/>
    <w:rsid w:val="0045221B"/>
    <w:rsid w:val="0046388A"/>
    <w:rsid w:val="00497E76"/>
    <w:rsid w:val="00524FD8"/>
    <w:rsid w:val="00551A25"/>
    <w:rsid w:val="005542D7"/>
    <w:rsid w:val="005A0717"/>
    <w:rsid w:val="005B7C9C"/>
    <w:rsid w:val="005D63B9"/>
    <w:rsid w:val="00624E5F"/>
    <w:rsid w:val="00694E3F"/>
    <w:rsid w:val="006A7CBB"/>
    <w:rsid w:val="006E0504"/>
    <w:rsid w:val="00711D8B"/>
    <w:rsid w:val="00746E35"/>
    <w:rsid w:val="007571BA"/>
    <w:rsid w:val="007F08A3"/>
    <w:rsid w:val="00817FE9"/>
    <w:rsid w:val="008D30B4"/>
    <w:rsid w:val="008F483C"/>
    <w:rsid w:val="009B4330"/>
    <w:rsid w:val="00A25E65"/>
    <w:rsid w:val="00A44F9D"/>
    <w:rsid w:val="00A579BA"/>
    <w:rsid w:val="00A80CBE"/>
    <w:rsid w:val="00AA080F"/>
    <w:rsid w:val="00AE02FC"/>
    <w:rsid w:val="00AF07D5"/>
    <w:rsid w:val="00B36149"/>
    <w:rsid w:val="00B75077"/>
    <w:rsid w:val="00BA63CE"/>
    <w:rsid w:val="00BB0E45"/>
    <w:rsid w:val="00BC72B9"/>
    <w:rsid w:val="00BE01CA"/>
    <w:rsid w:val="00BF570A"/>
    <w:rsid w:val="00C068D7"/>
    <w:rsid w:val="00C21CC2"/>
    <w:rsid w:val="00C53CD5"/>
    <w:rsid w:val="00CA1656"/>
    <w:rsid w:val="00CB034C"/>
    <w:rsid w:val="00CD0CC5"/>
    <w:rsid w:val="00CE09BE"/>
    <w:rsid w:val="00CE612A"/>
    <w:rsid w:val="00CE6C91"/>
    <w:rsid w:val="00CF761C"/>
    <w:rsid w:val="00D1429E"/>
    <w:rsid w:val="00D649EC"/>
    <w:rsid w:val="00DE4778"/>
    <w:rsid w:val="00DE73B0"/>
    <w:rsid w:val="00E375DD"/>
    <w:rsid w:val="00E7144D"/>
    <w:rsid w:val="00EB5D65"/>
    <w:rsid w:val="00F059EB"/>
    <w:rsid w:val="00F1628E"/>
    <w:rsid w:val="00F50031"/>
    <w:rsid w:val="00F63078"/>
    <w:rsid w:val="00F646DE"/>
    <w:rsid w:val="00FB416F"/>
    <w:rsid w:val="00FF0056"/>
    <w:rsid w:val="00FF083D"/>
    <w:rsid w:val="00FF6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E0CC7"/>
  <w15:chartTrackingRefBased/>
  <w15:docId w15:val="{05EAC42A-0518-42A5-8D83-17A1BE43E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6C91"/>
    <w:pPr>
      <w:ind w:left="720"/>
      <w:contextualSpacing/>
    </w:pPr>
  </w:style>
  <w:style w:type="table" w:styleId="Mriekatabuky">
    <w:name w:val="Table Grid"/>
    <w:basedOn w:val="Normlnatabuka"/>
    <w:uiPriority w:val="39"/>
    <w:rsid w:val="00213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6DCA"/>
  </w:style>
  <w:style w:type="paragraph" w:styleId="Pta">
    <w:name w:val="footer"/>
    <w:basedOn w:val="Normlny"/>
    <w:link w:val="Pt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6D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AA3FF-3D7C-47A3-80AC-47F6CDD23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9</Pages>
  <Words>2968</Words>
  <Characters>16920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Beránková</dc:creator>
  <cp:keywords/>
  <dc:description/>
  <cp:lastModifiedBy>Marcela Beránková</cp:lastModifiedBy>
  <cp:revision>10</cp:revision>
  <dcterms:created xsi:type="dcterms:W3CDTF">2022-03-29T10:51:00Z</dcterms:created>
  <dcterms:modified xsi:type="dcterms:W3CDTF">2024-04-02T07:13:00Z</dcterms:modified>
</cp:coreProperties>
</file>