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1487"/>
        <w:gridCol w:w="993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  <w:gridCol w:w="616"/>
      </w:tblGrid>
      <w:tr w:rsidR="008E1225"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left"/>
              <w:outlineLvl w:val="2"/>
            </w:pPr>
            <w:r>
              <w:rPr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7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  <w:lang w:val="en-US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1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5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0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60" w:after="60" w:line="240" w:lineRule="auto"/>
              <w:jc w:val="center"/>
              <w:outlineLvl w:val="2"/>
            </w:pPr>
            <w:r>
              <w:rPr>
                <w:rFonts w:eastAsia="Arial Narrow"/>
                <w:sz w:val="16"/>
                <w:szCs w:val="16"/>
              </w:rPr>
              <w:t>3</w:t>
            </w: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  <w:tc>
          <w:tcPr>
            <w:tcW w:w="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keepNext/>
              <w:spacing w:before="60" w:after="60" w:line="240" w:lineRule="auto"/>
              <w:jc w:val="center"/>
              <w:outlineLvl w:val="2"/>
            </w:pPr>
          </w:p>
        </w:tc>
      </w:tr>
    </w:tbl>
    <w:p w:rsidR="008E1225" w:rsidRDefault="008E1225">
      <w:pPr>
        <w:keepNext/>
        <w:spacing w:before="0" w:after="0" w:line="240" w:lineRule="auto"/>
        <w:jc w:val="center"/>
        <w:outlineLvl w:val="2"/>
        <w:rPr>
          <w:b/>
          <w:bCs/>
          <w:sz w:val="24"/>
        </w:rPr>
      </w:pPr>
    </w:p>
    <w:p w:rsidR="008E1225" w:rsidRDefault="008E1225">
      <w:pPr>
        <w:keepNext/>
        <w:spacing w:before="0" w:line="240" w:lineRule="auto"/>
        <w:outlineLvl w:val="2"/>
        <w:rPr>
          <w:rFonts w:cs="Arial"/>
          <w:b/>
          <w:bCs/>
          <w:sz w:val="22"/>
          <w:szCs w:val="22"/>
        </w:rPr>
      </w:pPr>
    </w:p>
    <w:p w:rsidR="008E1225" w:rsidRDefault="001F37AC">
      <w:pPr>
        <w:keepNext/>
        <w:spacing w:before="0" w:line="240" w:lineRule="auto"/>
        <w:jc w:val="center"/>
        <w:outlineLvl w:val="2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I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Všeobecné informácie</w:t>
      </w:r>
    </w:p>
    <w:p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Údaje o zakladateľovi alebo zriaďovateľovi účtovnej jednotky:</w:t>
      </w:r>
    </w:p>
    <w:tbl>
      <w:tblPr>
        <w:tblW w:w="0" w:type="auto"/>
        <w:tblInd w:w="360" w:type="dxa"/>
        <w:tblLayout w:type="fixed"/>
        <w:tblLook w:val="04A0" w:firstRow="1" w:lastRow="0" w:firstColumn="1" w:lastColumn="0" w:noHBand="0" w:noVBand="1"/>
      </w:tblPr>
      <w:tblGrid>
        <w:gridCol w:w="2867"/>
        <w:gridCol w:w="6967"/>
      </w:tblGrid>
      <w:tr w:rsidR="008E1225">
        <w:trPr>
          <w:trHeight w:val="284"/>
        </w:trPr>
        <w:tc>
          <w:tcPr>
            <w:tcW w:w="28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Údaje o zakladateľovi alebo zriaďovateľovi účtovnej jednotky: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sz w:val="16"/>
                <w:szCs w:val="16"/>
              </w:rPr>
              <w:t>Meno a priezvisko fyzickej osoby alebo názov právnickej osoby, ktorá je zakladateľom alebo zriaďovateľom účtovnej jednotky</w:t>
            </w:r>
          </w:p>
        </w:tc>
      </w:tr>
      <w:tr w:rsidR="008E1225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Košická arcidiecéza</w:t>
            </w:r>
          </w:p>
        </w:tc>
      </w:tr>
      <w:tr w:rsidR="008E1225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28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178"/>
        </w:trPr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Dátum</w:t>
            </w:r>
            <w:r>
              <w:rPr>
                <w:sz w:val="16"/>
                <w:szCs w:val="16"/>
              </w:rPr>
              <w:t xml:space="preserve"> založenia alebo zriadenia účtovnej jednotky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BA3878">
            <w:pPr>
              <w:snapToGrid w:val="0"/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1.9.1992</w:t>
            </w:r>
          </w:p>
        </w:tc>
      </w:tr>
    </w:tbl>
    <w:p w:rsidR="008E1225" w:rsidRDefault="008E1225">
      <w:pPr>
        <w:spacing w:before="0" w:after="0" w:line="240" w:lineRule="auto"/>
        <w:ind w:left="360"/>
        <w:rPr>
          <w:sz w:val="18"/>
          <w:szCs w:val="18"/>
        </w:rPr>
      </w:pPr>
    </w:p>
    <w:p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Informácie o členoch štatutárnych orgánov, dozorných orgánov  a iných orgánov účtovnej jednotky; uvádzajú sa mená a priezviská členov štatutárnych orgánov, dozorných orgánov a iných orgánov účtovnej jednotky :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Štatutárne orgány:</w:t>
            </w:r>
          </w:p>
          <w:p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(Štatutár, správna rada, predsedníctvo)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BA3878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Mgr. Beáta </w:t>
            </w:r>
            <w:proofErr w:type="spellStart"/>
            <w:r>
              <w:rPr>
                <w:sz w:val="16"/>
                <w:szCs w:val="16"/>
              </w:rPr>
              <w:t>Ďordíková</w:t>
            </w:r>
            <w:proofErr w:type="spellEnd"/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Dozorný orgán:</w:t>
            </w:r>
          </w:p>
          <w:p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(Dozorná rada, revízor)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after="0" w:line="240" w:lineRule="auto"/>
        <w:rPr>
          <w:sz w:val="18"/>
          <w:szCs w:val="18"/>
        </w:rPr>
      </w:pPr>
    </w:p>
    <w:p w:rsidR="008E1225" w:rsidRDefault="001F37AC">
      <w:pPr>
        <w:numPr>
          <w:ilvl w:val="0"/>
          <w:numId w:val="6"/>
        </w:numPr>
        <w:spacing w:before="0" w:line="240" w:lineRule="auto"/>
        <w:rPr>
          <w:b/>
          <w:sz w:val="16"/>
          <w:szCs w:val="16"/>
        </w:rPr>
      </w:pPr>
      <w:r>
        <w:rPr>
          <w:sz w:val="18"/>
          <w:szCs w:val="18"/>
        </w:rPr>
        <w:t>Opis činnosti, na účel ktorej bola účtovná jednotka zriadená a opis druhu podnikateľskej činnosti, ak ju účtovná jednotka vykonáva.</w:t>
      </w: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Hlavná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BA3878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Výchovno-vzdelávacia činnosť</w:t>
            </w: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b/>
                <w:sz w:val="16"/>
                <w:szCs w:val="16"/>
              </w:rPr>
              <w:t>Podnikateľská činnosť: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after="0" w:line="240" w:lineRule="auto"/>
        <w:rPr>
          <w:sz w:val="18"/>
          <w:szCs w:val="18"/>
        </w:rPr>
      </w:pPr>
    </w:p>
    <w:p w:rsidR="008E1225" w:rsidRDefault="001F37AC">
      <w:pPr>
        <w:numPr>
          <w:ilvl w:val="0"/>
          <w:numId w:val="6"/>
        </w:numPr>
        <w:spacing w:before="0" w:line="240" w:lineRule="auto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Priemerný prepočítaný počet zamestnancov, a z toho počet vedúcich zamestnancov účtovnej jednotky za účtovné obdobie, za ktoré sa zostavuje účtovná závierka (ďalej len „bežné účtovné obdobie“) a za bezprostredne predchádzajúce účtovné obdobie. Počet dobrovoľníkov vyslaných účtovnou jednotkou a počet dobrovoľníkov, ktorí vykonávali dobrovoľnícku činnosť pre účtovnú jednotku počas účtovného obdobia. </w:t>
      </w:r>
    </w:p>
    <w:p w:rsidR="008E1225" w:rsidRDefault="001F37AC">
      <w:pPr>
        <w:spacing w:before="0" w:line="240" w:lineRule="auto"/>
        <w:ind w:firstLine="360"/>
        <w:rPr>
          <w:sz w:val="16"/>
          <w:szCs w:val="16"/>
        </w:rPr>
      </w:pPr>
      <w:r>
        <w:rPr>
          <w:b/>
          <w:i/>
          <w:sz w:val="18"/>
          <w:szCs w:val="18"/>
        </w:rPr>
        <w:t>Tabuľka k čl. I ods. 4  o počte zamestnancov a dobrovoľníkov: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Počet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hodín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vykonávania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dobrovľníckej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činnosti</w:t>
            </w:r>
            <w:proofErr w:type="spellEnd"/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Priemerný prepočítaný počet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AB338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26,82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>z toho  počet vedúcich zamestnancov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AB3384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  <w:r>
              <w:rPr>
                <w:sz w:val="16"/>
                <w:szCs w:val="16"/>
              </w:rPr>
              <w:t>x</w:t>
            </w: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  <w:r>
              <w:rPr>
                <w:sz w:val="16"/>
                <w:szCs w:val="16"/>
              </w:rPr>
              <w:lastRenderedPageBreak/>
              <w:t>Počet dobrovoľníkov, ktorí vykonávali dobrovoľnícku činnosť pre účtovnú jednotku počas účtovného obdobia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rPr>
          <w:sz w:val="18"/>
          <w:szCs w:val="18"/>
        </w:rPr>
      </w:pPr>
    </w:p>
    <w:p w:rsidR="008E1225" w:rsidRDefault="001F37AC">
      <w:pPr>
        <w:numPr>
          <w:ilvl w:val="0"/>
          <w:numId w:val="6"/>
        </w:numPr>
        <w:spacing w:before="0" w:line="240" w:lineRule="auto"/>
        <w:rPr>
          <w:sz w:val="18"/>
          <w:szCs w:val="18"/>
        </w:rPr>
      </w:pPr>
      <w:r>
        <w:rPr>
          <w:sz w:val="18"/>
          <w:szCs w:val="18"/>
        </w:rPr>
        <w:t>Organizačná štruktúra účtovnej jednotky.</w:t>
      </w:r>
    </w:p>
    <w:p w:rsidR="008E1225" w:rsidRDefault="008E1225">
      <w:pPr>
        <w:spacing w:before="0" w:line="240" w:lineRule="auto"/>
        <w:rPr>
          <w:sz w:val="18"/>
          <w:szCs w:val="18"/>
        </w:rPr>
      </w:pPr>
    </w:p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2835"/>
        <w:gridCol w:w="6967"/>
      </w:tblGrid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Orgány účtovnej jednotky :</w:t>
            </w:r>
          </w:p>
          <w:p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(riadiace , štatutárne , kontrolné)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Organizačné útvary:</w:t>
            </w:r>
          </w:p>
          <w:p w:rsidR="008E1225" w:rsidRDefault="001F37AC">
            <w:pPr>
              <w:spacing w:before="0" w:after="0" w:line="240" w:lineRule="auto"/>
            </w:pPr>
            <w:r>
              <w:rPr>
                <w:sz w:val="16"/>
                <w:szCs w:val="16"/>
              </w:rPr>
              <w:t>(zabezpečujúce hlavnú nezdaňovanú činnosť , prípadne ekonomickú , resp. zdaňovanú činnosť a obslužné činnosti )</w:t>
            </w: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rPr>
                <w:b/>
                <w:sz w:val="16"/>
                <w:szCs w:val="16"/>
              </w:rPr>
            </w:pPr>
          </w:p>
        </w:tc>
        <w:tc>
          <w:tcPr>
            <w:tcW w:w="6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ind w:left="360"/>
        <w:rPr>
          <w:sz w:val="18"/>
          <w:szCs w:val="18"/>
        </w:rPr>
      </w:pPr>
    </w:p>
    <w:p w:rsidR="008E1225" w:rsidRDefault="001F37AC">
      <w:pPr>
        <w:numPr>
          <w:ilvl w:val="0"/>
          <w:numId w:val="6"/>
        </w:num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Informácia o organizáciách v zriaďovateľskej pôsobnosti účtovnej jednotky :</w:t>
      </w:r>
    </w:p>
    <w:tbl>
      <w:tblPr>
        <w:tblW w:w="4800" w:type="pct"/>
        <w:tblInd w:w="392" w:type="dxa"/>
        <w:tblLayout w:type="fixed"/>
        <w:tblLook w:val="04A0" w:firstRow="1" w:lastRow="0" w:firstColumn="1" w:lastColumn="0" w:noHBand="0" w:noVBand="1"/>
      </w:tblPr>
      <w:tblGrid>
        <w:gridCol w:w="4665"/>
        <w:gridCol w:w="2601"/>
        <w:gridCol w:w="2601"/>
      </w:tblGrid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rPr>
                <w:sz w:val="16"/>
                <w:szCs w:val="16"/>
                <w:lang w:val="en-US"/>
              </w:rPr>
            </w:pPr>
            <w:r>
              <w:rPr>
                <w:b/>
                <w:sz w:val="16"/>
                <w:szCs w:val="16"/>
                <w:lang w:val="en-US" w:eastAsia="sk-SK"/>
              </w:rPr>
              <w:t>IČO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Názov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organizácie</w:t>
            </w:r>
            <w:proofErr w:type="spellEnd"/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Právna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forma</w:t>
            </w: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center"/>
            </w:pPr>
          </w:p>
        </w:tc>
      </w:tr>
      <w:tr w:rsidR="008E1225">
        <w:trPr>
          <w:trHeight w:val="284"/>
        </w:trPr>
        <w:tc>
          <w:tcPr>
            <w:tcW w:w="4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pacing w:before="0" w:after="0"/>
              <w:jc w:val="left"/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pStyle w:val="Textopatrenia"/>
              <w:numPr>
                <w:ilvl w:val="0"/>
                <w:numId w:val="0"/>
              </w:numPr>
              <w:tabs>
                <w:tab w:val="clear" w:pos="0"/>
                <w:tab w:val="clear" w:pos="1440"/>
              </w:tabs>
              <w:snapToGrid w:val="0"/>
              <w:spacing w:before="0" w:after="0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:rsidR="008E1225" w:rsidRDefault="001F37AC">
      <w:pPr>
        <w:keepNext/>
        <w:spacing w:before="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sz w:val="18"/>
          <w:szCs w:val="18"/>
        </w:rPr>
      </w:pPr>
      <w:r>
        <w:rPr>
          <w:rFonts w:cs="Arial"/>
          <w:b/>
          <w:sz w:val="22"/>
          <w:szCs w:val="22"/>
        </w:rPr>
        <w:t>Informácie o účtovných zásadách a účtovných metódach</w:t>
      </w:r>
    </w:p>
    <w:p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Nezisková organizácia Nikdy nie je neskoro n. o. predpokladá pokračovať vo svojej činnosti aj v budúcom roku 2024.</w:t>
      </w:r>
    </w:p>
    <w:p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 w:rsidRPr="00AB3384">
        <w:rPr>
          <w:rFonts w:ascii="Arial" w:hAnsi="Arial" w:cs="Arial"/>
          <w:color w:val="282828"/>
          <w:sz w:val="20"/>
          <w:szCs w:val="20"/>
        </w:rPr>
        <w:t>V priebehu účtovného obdobia 2023 neboli uskutočnené žiadne zmeny účtovných zásad a účtovných metód.</w:t>
      </w:r>
    </w:p>
    <w:p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obstaraný kúpou je oceňovaný obstarávacou cenou, ktorá zahŕňa cenu obstarania a náklady súvisiace s obstaraním, ako sú clo, doprava, montáž, poistné a podobne.</w:t>
      </w:r>
    </w:p>
    <w:p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Dlhodobý majetok a zásoby obstarané bezodplatne sú ocenené buď cenou uvedenou v darovacej zmluve, alebo reálnou hodnotou, ktorá predstavuje cenu, za ktorú by sa dlhodobý majetok obstaral na maloobchodnom trhu v čase, keď sa o ňom účtuje.</w:t>
      </w:r>
    </w:p>
    <w:p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Pohľadávky a záväzky sú oceňované menovitou hodnotou. Ocenenie pohľadávok sa znižuje o pochybné a nevymožiteľné pohľadávky.</w:t>
      </w:r>
    </w:p>
    <w:p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Peňažné prostriedky a ceniny sa oceňujú menovitou hodnotou.</w:t>
      </w:r>
    </w:p>
    <w:p w:rsidR="00AB3384" w:rsidRDefault="00AB3384" w:rsidP="00AB3384">
      <w:pPr>
        <w:pStyle w:val="Normlnywebov"/>
        <w:shd w:val="clear" w:color="auto" w:fill="F8F8F8"/>
        <w:spacing w:before="144" w:beforeAutospacing="0" w:after="144" w:afterAutospacing="0"/>
        <w:ind w:left="72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Výnosy budúcich období sa vykazujú vo výške, ktorou sa dodrží zásada vecnej a časovej súvislosti s účtovným obdobím.</w:t>
      </w:r>
    </w:p>
    <w:p w:rsid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</w:rPr>
        <w:t>Odpisy dlhodobého majetku sú ustanovené na základe predpokladanej doby používania jednotlivých druhov dlhodobého majetku, pričom je použitá rovnomerná odpisová metóda počas celej predpokladanej doby používania majetku.</w:t>
      </w:r>
    </w:p>
    <w:p w:rsidR="00AB3384" w:rsidRPr="00AB3384" w:rsidRDefault="00AB3384" w:rsidP="00AB3384">
      <w:pPr>
        <w:pStyle w:val="Normlnywebov"/>
        <w:numPr>
          <w:ilvl w:val="0"/>
          <w:numId w:val="12"/>
        </w:numPr>
        <w:shd w:val="clear" w:color="auto" w:fill="F8F8F8"/>
        <w:spacing w:before="144" w:beforeAutospacing="0" w:after="144" w:afterAutospacing="0"/>
        <w:rPr>
          <w:rFonts w:ascii="Arial" w:hAnsi="Arial" w:cs="Arial"/>
          <w:color w:val="282828"/>
          <w:sz w:val="20"/>
          <w:szCs w:val="20"/>
        </w:rPr>
      </w:pP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lastRenderedPageBreak/>
        <w:t>Nezisková organizácia netvorí opravné položky. Ak je pohľadávka po lehote splatnosti viac ako 36 mesiacov, odpíše sa v celej výške.</w:t>
      </w:r>
      <w:r>
        <w:rPr>
          <w:rFonts w:ascii="Arial" w:hAnsi="Arial" w:cs="Arial"/>
          <w:color w:val="282828"/>
          <w:sz w:val="20"/>
          <w:szCs w:val="20"/>
        </w:rPr>
        <w:br/>
      </w:r>
      <w:r>
        <w:rPr>
          <w:rFonts w:ascii="Arial" w:hAnsi="Arial" w:cs="Arial"/>
          <w:color w:val="282828"/>
          <w:sz w:val="20"/>
          <w:szCs w:val="20"/>
          <w:shd w:val="clear" w:color="auto" w:fill="F8F8F8"/>
        </w:rPr>
        <w:t>Pohľadávky, ktoré sú po lehote splatnosti viac ako 12 mesiacov a ich hodnota je nižšia ako suma nákladov na ich vymáhanie, sa odpíšu.</w:t>
      </w:r>
    </w:p>
    <w:p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III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rFonts w:eastAsia="Arial Narrow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 súvahe</w:t>
      </w:r>
    </w:p>
    <w:p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b/>
          <w:i/>
          <w:sz w:val="18"/>
          <w:szCs w:val="18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Významné sumy prírastkov a úbytkov dlhodobého nehmotného majetku a dlhodobého hmotného majetku.</w:t>
      </w:r>
    </w:p>
    <w:tbl>
      <w:tblPr>
        <w:tblW w:w="5123" w:type="pct"/>
        <w:tblInd w:w="3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8"/>
        <w:gridCol w:w="2758"/>
        <w:gridCol w:w="2805"/>
      </w:tblGrid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nehmotný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Nehmotné výsledky z vývojovej a obdobnej činnosti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Softvér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Oceniteľné práva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Ostatný dlhodobý majetok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nehmotného majetku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Dlhodobý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hmotný</w:t>
            </w:r>
            <w:proofErr w:type="spellEnd"/>
            <w:r>
              <w:rPr>
                <w:b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majetok</w:t>
            </w:r>
            <w:proofErr w:type="spellEnd"/>
          </w:p>
        </w:tc>
        <w:tc>
          <w:tcPr>
            <w:tcW w:w="1231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Prírastky</w:t>
            </w:r>
            <w:proofErr w:type="spellEnd"/>
          </w:p>
        </w:tc>
        <w:tc>
          <w:tcPr>
            <w:tcW w:w="1252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b/>
                <w:sz w:val="16"/>
                <w:szCs w:val="16"/>
                <w:lang w:val="en-US" w:eastAsia="sk-SK"/>
              </w:rPr>
              <w:t>Úbytky</w:t>
            </w:r>
            <w:proofErr w:type="spellEnd"/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Pozemky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  <w:lang w:val="en-US" w:eastAsia="sk-SK"/>
              </w:rPr>
            </w:pPr>
            <w:r>
              <w:rPr>
                <w:rFonts w:cs="Arial"/>
                <w:sz w:val="16"/>
                <w:szCs w:val="16"/>
                <w:lang w:val="en-US" w:eastAsia="sk-SK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Umelecké diela a zbierky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Stavby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Samostatne  hnuteľné veci a súbory hnuteľných vecí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Dopravné prostriedky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Drobný a ostatný dlhodobý hmotný majetok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Obstaranie dlhodobého hmotného majetku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2217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31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1252" w:type="pct"/>
            <w:vAlign w:val="center"/>
          </w:tcPr>
          <w:p w:rsidR="008E1225" w:rsidRDefault="001F37AC">
            <w:pPr>
              <w:pStyle w:val="Textopatrenia"/>
              <w:numPr>
                <w:ilvl w:val="0"/>
                <w:numId w:val="0"/>
              </w:numPr>
              <w:tabs>
                <w:tab w:val="clear" w:pos="1440"/>
              </w:tabs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</w:t>
            </w:r>
          </w:p>
        </w:tc>
      </w:tr>
    </w:tbl>
    <w:p w:rsidR="008E1225" w:rsidRDefault="008E1225">
      <w:pPr>
        <w:spacing w:before="0" w:line="240" w:lineRule="auto"/>
        <w:rPr>
          <w:rFonts w:eastAsia="Arial Narrow"/>
          <w:sz w:val="22"/>
          <w:szCs w:val="22"/>
        </w:rPr>
      </w:pPr>
    </w:p>
    <w:p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eastAsia="Arial Narrow"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dlhodobého majetku, na ktorý je zriadené záložné právo a prehľad dlhodobého majetku, pri ktorom má účtovná jednotka obmedzené právo s ním nakladať.</w:t>
      </w:r>
    </w:p>
    <w:p w:rsidR="008E1225" w:rsidRDefault="001F37AC">
      <w:pPr>
        <w:numPr>
          <w:ilvl w:val="0"/>
          <w:numId w:val="9"/>
        </w:numPr>
        <w:spacing w:before="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dlhodobého finančného majetku za bežné účtovné obdobie a jeho umiestnenie v členení podľa položiek súvahy v riadkoch 022 a 023.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19"/>
        <w:gridCol w:w="2409"/>
        <w:gridCol w:w="2694"/>
      </w:tblGrid>
      <w:tr w:rsidR="008E1225">
        <w:trPr>
          <w:trHeight w:val="399"/>
        </w:trPr>
        <w:tc>
          <w:tcPr>
            <w:tcW w:w="49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Názov účtovnej jednotky</w:t>
            </w:r>
          </w:p>
        </w:tc>
        <w:tc>
          <w:tcPr>
            <w:tcW w:w="2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Podiel na základnom imaní (v %)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Podiel účtovnej jednotky na hlasovacích právach</w:t>
            </w:r>
          </w:p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(v %)</w:t>
            </w:r>
          </w:p>
        </w:tc>
      </w:tr>
      <w:tr w:rsidR="008E1225">
        <w:trPr>
          <w:trHeight w:val="1073"/>
        </w:trPr>
        <w:tc>
          <w:tcPr>
            <w:tcW w:w="49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>
        <w:trPr>
          <w:trHeight w:val="374"/>
        </w:trPr>
        <w:tc>
          <w:tcPr>
            <w:tcW w:w="4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1225" w:rsidRDefault="001F37AC">
      <w:pPr>
        <w:spacing w:line="240" w:lineRule="auto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(4) </w:t>
      </w:r>
      <w:r>
        <w:rPr>
          <w:rFonts w:cs="Arial"/>
          <w:sz w:val="22"/>
          <w:szCs w:val="22"/>
        </w:rPr>
        <w:t>Údaje o štruktúre dlhodobého finančného majetku a krátkodobého finančného majetku v členení podľa položiek súvahy v riadkoch 024, 026 a 055.</w:t>
      </w: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355"/>
        <w:gridCol w:w="3351"/>
        <w:gridCol w:w="3351"/>
      </w:tblGrid>
      <w:tr w:rsidR="008E1225"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Opis druhu finančného majetku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>
        <w:trPr>
          <w:trHeight w:val="374"/>
        </w:trPr>
        <w:tc>
          <w:tcPr>
            <w:tcW w:w="3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štruktúre dlhodobých pôžičiek.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350"/>
        <w:gridCol w:w="3351"/>
        <w:gridCol w:w="3351"/>
      </w:tblGrid>
      <w:tr w:rsidR="008E1225"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Poskytnuté dlhodobé pôžičky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line="240" w:lineRule="auto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E1225">
        <w:trPr>
          <w:trHeight w:val="374"/>
        </w:trPr>
        <w:tc>
          <w:tcPr>
            <w:tcW w:w="3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 o vývoji významných súm opravných položiek podľa jednotlivých druhov majetku.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01"/>
        <w:gridCol w:w="1596"/>
        <w:gridCol w:w="1596"/>
        <w:gridCol w:w="1595"/>
        <w:gridCol w:w="1595"/>
        <w:gridCol w:w="1595"/>
      </w:tblGrid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Druh zásob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Výrobky 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Zvieratá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Tovar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Poskytnutý preddavok na zásoby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1119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Zásoby spolu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  <w:tc>
          <w:tcPr>
            <w:tcW w:w="776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776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</w:t>
            </w:r>
          </w:p>
        </w:tc>
      </w:tr>
    </w:tbl>
    <w:p w:rsidR="008E1225" w:rsidRDefault="008E1225">
      <w:pPr>
        <w:keepNext/>
        <w:spacing w:line="240" w:lineRule="auto"/>
        <w:rPr>
          <w:rFonts w:cs="Arial"/>
          <w:b/>
          <w:sz w:val="22"/>
          <w:szCs w:val="22"/>
        </w:rPr>
      </w:pPr>
    </w:p>
    <w:p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významných súm pohľadávok</w:t>
      </w:r>
      <w:r>
        <w:rPr>
          <w:rFonts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v nadväznosti na položky súvahy, v členení na pohľadávky za hlavnú nezdaňovanú činnosť a zdaňovanú činnosť za bežné účtovné obdobie.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4068"/>
        <w:gridCol w:w="2977"/>
        <w:gridCol w:w="2693"/>
      </w:tblGrid>
      <w:tr w:rsidR="008E122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 opis významných položiek pohľadávok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pohľadávok do uplynutia lehoty splatnosti a po uplynutí lehoty splatnosti.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8E122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do uplynutia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8E122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0</w:t>
            </w:r>
          </w:p>
        </w:tc>
      </w:tr>
      <w:tr w:rsidR="008E1225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  <w:tc>
          <w:tcPr>
            <w:tcW w:w="3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C7327D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0</w:t>
            </w:r>
          </w:p>
        </w:tc>
      </w:tr>
    </w:tbl>
    <w:p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nákladov budúcich období a príjmov budúcich období.</w:t>
      </w:r>
    </w:p>
    <w:p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:rsidR="008E1225" w:rsidRDefault="008E1225">
      <w:pPr>
        <w:spacing w:line="240" w:lineRule="auto"/>
        <w:ind w:left="644"/>
        <w:rPr>
          <w:rFonts w:cs="Arial"/>
          <w:sz w:val="22"/>
          <w:szCs w:val="22"/>
        </w:rPr>
      </w:pPr>
    </w:p>
    <w:p w:rsidR="008E1225" w:rsidRDefault="001F37AC">
      <w:pPr>
        <w:pageBreakBefore/>
        <w:spacing w:before="0" w:line="240" w:lineRule="auto"/>
        <w:rPr>
          <w:b/>
          <w:sz w:val="16"/>
          <w:szCs w:val="16"/>
        </w:rPr>
      </w:pPr>
      <w:r>
        <w:rPr>
          <w:b/>
          <w:i/>
          <w:sz w:val="18"/>
          <w:szCs w:val="18"/>
        </w:rPr>
        <w:lastRenderedPageBreak/>
        <w:t>(10) Opis a výška zmien vlastného imania v priebehu účtovného obdobia podľa položiek súvahy</w:t>
      </w:r>
    </w:p>
    <w:tbl>
      <w:tblPr>
        <w:tblW w:w="445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8"/>
        <w:gridCol w:w="1087"/>
        <w:gridCol w:w="1091"/>
        <w:gridCol w:w="1091"/>
        <w:gridCol w:w="1091"/>
        <w:gridCol w:w="1156"/>
      </w:tblGrid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8E1225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Prírastky</w:t>
            </w:r>
          </w:p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(+)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Úbytky</w:t>
            </w:r>
          </w:p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(-)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Presuny</w:t>
            </w:r>
          </w:p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(+, -)</w:t>
            </w: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8E1225">
        <w:trPr>
          <w:trHeight w:val="284"/>
        </w:trPr>
        <w:tc>
          <w:tcPr>
            <w:tcW w:w="5000" w:type="pct"/>
            <w:gridSpan w:val="6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Vlastné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imanie</w:t>
            </w:r>
            <w:proofErr w:type="spellEnd"/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Základné imanie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 toho: </w:t>
            </w:r>
          </w:p>
          <w:p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nadačné imanie v nadácii</w:t>
            </w:r>
          </w:p>
        </w:tc>
        <w:tc>
          <w:tcPr>
            <w:tcW w:w="593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vklady zakladateľov</w:t>
            </w:r>
          </w:p>
        </w:tc>
        <w:tc>
          <w:tcPr>
            <w:tcW w:w="593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numPr>
                <w:ilvl w:val="0"/>
                <w:numId w:val="10"/>
              </w:num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prioritný majetok</w:t>
            </w:r>
          </w:p>
        </w:tc>
        <w:tc>
          <w:tcPr>
            <w:tcW w:w="593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podľa osobitného predpisu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 reprodukcie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5000" w:type="pct"/>
            <w:gridSpan w:val="6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Fondy tvorené zo zisku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Rezervný fond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Fondy tvorené zo zisku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Ostatné fondy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</w:pP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Výsledok</w:t>
            </w:r>
            <w:proofErr w:type="spellEnd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 xml:space="preserve"> </w:t>
            </w:r>
            <w:proofErr w:type="spellStart"/>
            <w:r>
              <w:rPr>
                <w:rFonts w:eastAsia="Times New Roman" w:cs="Arial"/>
                <w:b/>
                <w:bCs/>
                <w:sz w:val="16"/>
                <w:szCs w:val="16"/>
                <w:lang w:val="en-US" w:eastAsia="sk-SK"/>
              </w:rPr>
              <w:t>hospodárenia</w:t>
            </w:r>
            <w:proofErr w:type="spellEnd"/>
          </w:p>
        </w:tc>
        <w:tc>
          <w:tcPr>
            <w:tcW w:w="3008" w:type="pct"/>
            <w:gridSpan w:val="5"/>
            <w:vAlign w:val="center"/>
          </w:tcPr>
          <w:p w:rsidR="008E1225" w:rsidRDefault="008E1225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Nevysporiadaný</w:t>
            </w:r>
            <w:proofErr w:type="spellEnd"/>
            <w:r>
              <w:rPr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111,5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Výsledok hospodárenia za účtovné obdobie</w:t>
            </w:r>
          </w:p>
        </w:tc>
        <w:tc>
          <w:tcPr>
            <w:tcW w:w="593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877184,86</w:t>
            </w:r>
          </w:p>
        </w:tc>
        <w:tc>
          <w:tcPr>
            <w:tcW w:w="595" w:type="pct"/>
            <w:vAlign w:val="center"/>
          </w:tcPr>
          <w:p w:rsidR="008E1225" w:rsidRDefault="00C732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874592,86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C7327D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2592,00</w:t>
            </w:r>
          </w:p>
        </w:tc>
      </w:tr>
      <w:tr w:rsidR="008E1225">
        <w:trPr>
          <w:trHeight w:val="284"/>
        </w:trPr>
        <w:tc>
          <w:tcPr>
            <w:tcW w:w="1991" w:type="pct"/>
            <w:vAlign w:val="center"/>
          </w:tcPr>
          <w:p w:rsidR="008E1225" w:rsidRDefault="001F37AC">
            <w:pPr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  <w:tc>
          <w:tcPr>
            <w:tcW w:w="593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111,5</w:t>
            </w:r>
          </w:p>
        </w:tc>
        <w:tc>
          <w:tcPr>
            <w:tcW w:w="595" w:type="pct"/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877184,86</w:t>
            </w:r>
          </w:p>
        </w:tc>
        <w:tc>
          <w:tcPr>
            <w:tcW w:w="595" w:type="pct"/>
            <w:vAlign w:val="center"/>
          </w:tcPr>
          <w:p w:rsidR="008E1225" w:rsidRDefault="001F37AC" w:rsidP="00C7327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87</w:t>
            </w:r>
            <w:r w:rsidR="00C7327D">
              <w:rPr>
                <w:b/>
                <w:sz w:val="16"/>
                <w:szCs w:val="16"/>
              </w:rPr>
              <w:t>4592</w:t>
            </w:r>
            <w:r>
              <w:rPr>
                <w:b/>
                <w:sz w:val="16"/>
                <w:szCs w:val="16"/>
              </w:rPr>
              <w:t>,8</w:t>
            </w:r>
            <w:r w:rsidR="00C7327D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95" w:type="pct"/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629" w:type="pct"/>
            <w:vAlign w:val="center"/>
          </w:tcPr>
          <w:p w:rsidR="008E1225" w:rsidRDefault="00C7327D">
            <w:pPr>
              <w:spacing w:before="0" w:after="0" w:line="240" w:lineRule="auto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2703,50</w:t>
            </w:r>
          </w:p>
        </w:tc>
      </w:tr>
    </w:tbl>
    <w:p w:rsidR="008E1225" w:rsidRDefault="008E1225">
      <w:pPr>
        <w:spacing w:before="0" w:after="0" w:line="240" w:lineRule="auto"/>
        <w:rPr>
          <w:sz w:val="18"/>
          <w:szCs w:val="18"/>
        </w:rPr>
      </w:pPr>
    </w:p>
    <w:p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jednotlivých druhov fondov tvorených podľa osobitných predpisov.</w:t>
      </w:r>
    </w:p>
    <w:tbl>
      <w:tblPr>
        <w:tblW w:w="0" w:type="auto"/>
        <w:tblInd w:w="38" w:type="dxa"/>
        <w:tblLayout w:type="fixed"/>
        <w:tblLook w:val="04A0" w:firstRow="1" w:lastRow="0" w:firstColumn="1" w:lastColumn="0" w:noHBand="0" w:noVBand="1"/>
      </w:tblPr>
      <w:tblGrid>
        <w:gridCol w:w="2546"/>
        <w:gridCol w:w="2365"/>
        <w:gridCol w:w="1464"/>
        <w:gridCol w:w="1858"/>
        <w:gridCol w:w="1923"/>
      </w:tblGrid>
      <w:tr w:rsidR="008E1225"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Opis fondov tvorených podľa osobitných predpisov</w:t>
            </w: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bezprostredne predchádzajúceho účtovného obdobia</w:t>
            </w: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Prírastky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Úbytky</w:t>
            </w: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8E1225">
        <w:trPr>
          <w:trHeight w:val="37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407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413"/>
        </w:trPr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line="240" w:lineRule="auto"/>
        <w:ind w:left="0" w:firstLine="0"/>
        <w:rPr>
          <w:rFonts w:cs="Arial"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Informácia o rozdelení účtovného zisku alebo o vysporiadaní účtovnej straty za bezprostredne predchádzajúce účtovné obdobie.</w:t>
      </w:r>
    </w:p>
    <w:tbl>
      <w:tblPr>
        <w:tblW w:w="4700" w:type="pct"/>
        <w:tblInd w:w="113" w:type="dxa"/>
        <w:tblLayout w:type="fixed"/>
        <w:tblLook w:val="04A0" w:firstRow="1" w:lastRow="0" w:firstColumn="1" w:lastColumn="0" w:noHBand="0" w:noVBand="1"/>
      </w:tblPr>
      <w:tblGrid>
        <w:gridCol w:w="4536"/>
        <w:gridCol w:w="5125"/>
      </w:tblGrid>
      <w:tr w:rsidR="008E1225">
        <w:trPr>
          <w:trHeight w:val="765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Názov položky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pStyle w:val="TopHeader"/>
              <w:keepNext/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right"/>
            </w:pPr>
            <w:r>
              <w:rPr>
                <w:b/>
                <w:sz w:val="16"/>
                <w:szCs w:val="16"/>
              </w:rPr>
              <w:t>          </w:t>
            </w:r>
            <w:r>
              <w:rPr>
                <w:sz w:val="16"/>
                <w:szCs w:val="16"/>
              </w:rPr>
              <w:t>     </w:t>
            </w:r>
          </w:p>
        </w:tc>
      </w:tr>
      <w:tr w:rsidR="008E1225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</w:t>
            </w:r>
            <w:r>
              <w:rPr>
                <w:rFonts w:cs="Arial"/>
                <w:sz w:val="22"/>
                <w:szCs w:val="22"/>
              </w:rPr>
              <w:t>ondov tvorených podľa osobitných predpisov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lastRenderedPageBreak/>
              <w:t xml:space="preserve">Prevod do sociálneho fondu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b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94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b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fondov tvorených zo zisku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Prevod do </w:t>
            </w:r>
            <w:proofErr w:type="spellStart"/>
            <w:r>
              <w:rPr>
                <w:rFonts w:cs="Arial"/>
                <w:color w:val="000000"/>
                <w:sz w:val="22"/>
                <w:szCs w:val="22"/>
              </w:rPr>
              <w:t>n</w:t>
            </w:r>
            <w:r>
              <w:rPr>
                <w:rFonts w:cs="Arial"/>
                <w:sz w:val="22"/>
                <w:szCs w:val="22"/>
              </w:rPr>
              <w:t>evysporiadaného</w:t>
            </w:r>
            <w:proofErr w:type="spellEnd"/>
            <w:r>
              <w:rPr>
                <w:rFonts w:cs="Arial"/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  <w:tr w:rsidR="008E1225">
        <w:trPr>
          <w:trHeight w:val="330"/>
        </w:trPr>
        <w:tc>
          <w:tcPr>
            <w:tcW w:w="4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</w:pPr>
            <w:r>
              <w:rPr>
                <w:rFonts w:cs="Arial"/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0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color w:val="000000"/>
                <w:sz w:val="22"/>
                <w:szCs w:val="22"/>
              </w:rPr>
            </w:pPr>
          </w:p>
        </w:tc>
      </w:tr>
    </w:tbl>
    <w:p w:rsidR="008E1225" w:rsidRDefault="001F37AC">
      <w:pPr>
        <w:numPr>
          <w:ilvl w:val="0"/>
          <w:numId w:val="9"/>
        </w:numPr>
        <w:spacing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jednotlivých druhoch rezerv v členení na stav rezerv na konci bezprostredne predchádzajúceho účtovného obdobia a stav rezerv na konci bežného účtovného obdobia, ich tvorbu, použitie alebo zrušenie v priebehu bežného účtovného obdobia.</w:t>
      </w:r>
    </w:p>
    <w:tbl>
      <w:tblPr>
        <w:tblW w:w="0" w:type="auto"/>
        <w:tblInd w:w="79" w:type="dxa"/>
        <w:tblLayout w:type="fixed"/>
        <w:tblLook w:val="04A0" w:firstRow="1" w:lastRow="0" w:firstColumn="1" w:lastColumn="0" w:noHBand="0" w:noVBand="1"/>
      </w:tblPr>
      <w:tblGrid>
        <w:gridCol w:w="2278"/>
        <w:gridCol w:w="1822"/>
        <w:gridCol w:w="1368"/>
        <w:gridCol w:w="1481"/>
        <w:gridCol w:w="1504"/>
        <w:gridCol w:w="1746"/>
      </w:tblGrid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rezervy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Tvorba rezerv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Použitie rezerv</w:t>
            </w: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Zrušenie rezerv</w:t>
            </w: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after="0" w:line="240" w:lineRule="auto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Rezervy spolu</w:t>
            </w:r>
          </w:p>
        </w:tc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 významných sumách záväzkov v nadväznosti na položky súvahy, v členení na záväzky za hlavnú nezdaňovanú činnosť a zdaňovanú činnosť.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78"/>
        <w:gridCol w:w="3111"/>
        <w:gridCol w:w="2538"/>
      </w:tblGrid>
      <w:tr w:rsidR="008E1225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before="0" w:line="240" w:lineRule="auto"/>
            </w:pPr>
            <w:r>
              <w:rPr>
                <w:rFonts w:cs="Arial"/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Zdaňovaná činnosť</w:t>
            </w:r>
          </w:p>
        </w:tc>
      </w:tr>
      <w:tr w:rsidR="008E1225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záväzkov do uplynutia lehoty splatnosti a po uplynutí lehoty splatnosti.</w:t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8E1225">
        <w:trPr>
          <w:trHeight w:val="608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Záväzky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- do uplynutia lehoty splatnosti 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  <w:lang w:eastAsia="sk-SK"/>
              </w:rPr>
            </w:pPr>
          </w:p>
        </w:tc>
      </w:tr>
      <w:tr w:rsidR="008E1225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- po uplynutí lehoty splatnosti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4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D2673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12176,13</w:t>
            </w:r>
          </w:p>
        </w:tc>
        <w:tc>
          <w:tcPr>
            <w:tcW w:w="30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lastRenderedPageBreak/>
        <w:t xml:space="preserve"> </w:t>
      </w:r>
      <w:r>
        <w:rPr>
          <w:rFonts w:cs="Arial"/>
          <w:sz w:val="22"/>
          <w:szCs w:val="22"/>
        </w:rPr>
        <w:t xml:space="preserve">Prehľad o začiatočnom stave, tvorbe, čerpaní a konečnom zostatku sociálneho fondu v priebehu bežného účtovného obdobia.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5740"/>
        <w:gridCol w:w="3686"/>
      </w:tblGrid>
      <w:tr w:rsidR="008E1225">
        <w:trPr>
          <w:trHeight w:val="44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8E1225">
        <w:trPr>
          <w:trHeight w:val="510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prvému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D2673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3633,29</w:t>
            </w:r>
          </w:p>
        </w:tc>
      </w:tr>
      <w:tr w:rsidR="008E1225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0275B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4099,36</w:t>
            </w:r>
          </w:p>
        </w:tc>
      </w:tr>
      <w:tr w:rsidR="008E1225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Čerpanie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0275B3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3685,87</w:t>
            </w:r>
          </w:p>
        </w:tc>
      </w:tr>
      <w:tr w:rsidR="008E1225">
        <w:trPr>
          <w:trHeight w:val="557"/>
        </w:trPr>
        <w:tc>
          <w:tcPr>
            <w:tcW w:w="5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Stav k poslednému dňu bežného účtovného obdobia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D26738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  <w:r>
              <w:rPr>
                <w:rFonts w:cs="Arial"/>
                <w:b/>
                <w:sz w:val="22"/>
                <w:szCs w:val="22"/>
              </w:rPr>
              <w:t>4046,78</w:t>
            </w:r>
          </w:p>
        </w:tc>
      </w:tr>
    </w:tbl>
    <w:p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Prehľad o bankových úveroch, pôžičkách a návratných finančných výpomociach s uvedením meny. </w:t>
      </w:r>
    </w:p>
    <w:tbl>
      <w:tblPr>
        <w:tblW w:w="0" w:type="auto"/>
        <w:tblInd w:w="293" w:type="dxa"/>
        <w:tblLayout w:type="fixed"/>
        <w:tblLook w:val="04A0" w:firstRow="1" w:lastRow="0" w:firstColumn="1" w:lastColumn="0" w:noHBand="0" w:noVBand="1"/>
      </w:tblPr>
      <w:tblGrid>
        <w:gridCol w:w="2338"/>
        <w:gridCol w:w="851"/>
        <w:gridCol w:w="1134"/>
        <w:gridCol w:w="1275"/>
        <w:gridCol w:w="1843"/>
        <w:gridCol w:w="1985"/>
      </w:tblGrid>
      <w:tr w:rsidR="008E1225"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Druh cudzieho zdroja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Výška úroku v %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Splatnosť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Forma zabezpečenia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</w:tr>
      <w:tr w:rsidR="008E1225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Krátkodobý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Pôžička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Návratná finančná výpomoc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Dlhodobý bankový úver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74"/>
        </w:trPr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8E1225" w:rsidRDefault="001F37AC">
      <w:pPr>
        <w:numPr>
          <w:ilvl w:val="0"/>
          <w:numId w:val="9"/>
        </w:numPr>
        <w:spacing w:before="240" w:line="240" w:lineRule="auto"/>
        <w:ind w:left="142" w:firstLine="0"/>
        <w:rPr>
          <w:rFonts w:eastAsia="Arial Narrow" w:cs="Arial"/>
          <w:b/>
          <w:sz w:val="22"/>
          <w:szCs w:val="22"/>
        </w:rPr>
      </w:pPr>
      <w:r>
        <w:rPr>
          <w:rFonts w:eastAsia="Arial Narrow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významných položkách časového rozlíšenia výdavkov budúcich období.</w:t>
      </w:r>
    </w:p>
    <w:p w:rsidR="008E1225" w:rsidRDefault="001F37AC">
      <w:pPr>
        <w:keepNext/>
        <w:numPr>
          <w:ilvl w:val="0"/>
          <w:numId w:val="9"/>
        </w:numPr>
        <w:spacing w:before="0" w:line="240" w:lineRule="auto"/>
        <w:ind w:left="142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b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výnosov budúcich období v členení podľa jednotlivých druhov a v členení na dlhodobé výnosy budúcich období a krátkodobé výnosy budúcich období.</w:t>
      </w: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dlhodobé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verejných zdrojov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 xml:space="preserve">dlhodobého majetku obstaraného z finančného daru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 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dlhodobého majetku obstaraného zo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8E1225">
      <w:pPr>
        <w:spacing w:before="240" w:line="240" w:lineRule="auto"/>
        <w:ind w:left="142"/>
        <w:rPr>
          <w:rFonts w:cs="Arial"/>
          <w:sz w:val="22"/>
          <w:szCs w:val="22"/>
        </w:rPr>
      </w:pPr>
    </w:p>
    <w:tbl>
      <w:tblPr>
        <w:tblW w:w="0" w:type="auto"/>
        <w:tblInd w:w="221" w:type="dxa"/>
        <w:tblLayout w:type="fixed"/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Položky výnosov budúcich období - krátkodobé z dôvodu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64416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11003,82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644161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22883</w:t>
            </w: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</w:pPr>
            <w:r>
              <w:rPr>
                <w:rFonts w:cs="Arial"/>
                <w:sz w:val="22"/>
                <w:szCs w:val="22"/>
              </w:rPr>
              <w:t>zostatku podielu zaplatenej dane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sz w:val="22"/>
                <w:szCs w:val="22"/>
              </w:rPr>
              <w:t>iné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3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9"/>
        </w:numPr>
        <w:spacing w:before="240" w:line="240" w:lineRule="auto"/>
        <w:ind w:left="142" w:hanging="142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Údaje o druhoch majetku a záväzkoch z lízingových zmlúv.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417"/>
        <w:gridCol w:w="3082"/>
        <w:gridCol w:w="2515"/>
      </w:tblGrid>
      <w:tr w:rsidR="008E1225">
        <w:tc>
          <w:tcPr>
            <w:tcW w:w="4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 xml:space="preserve">Druh majetku </w:t>
            </w:r>
          </w:p>
        </w:tc>
        <w:tc>
          <w:tcPr>
            <w:tcW w:w="55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Hodnota záväzku</w:t>
            </w:r>
          </w:p>
        </w:tc>
      </w:tr>
      <w:tr w:rsidR="008E1225">
        <w:tc>
          <w:tcPr>
            <w:tcW w:w="4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keepNext/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t>Čl. IV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rFonts w:eastAsia="Arial Narrow" w:cs="Arial"/>
          <w:sz w:val="22"/>
          <w:szCs w:val="22"/>
        </w:rPr>
      </w:pPr>
      <w:r>
        <w:rPr>
          <w:rFonts w:cs="Arial"/>
          <w:b/>
          <w:sz w:val="22"/>
          <w:szCs w:val="22"/>
        </w:rPr>
        <w:t>Informácie, ktoré dopĺňajú a vysvetľujú údaje vo výkaze ziskov a strát</w:t>
      </w:r>
    </w:p>
    <w:p w:rsidR="008E1225" w:rsidRDefault="001F37AC">
      <w:pPr>
        <w:numPr>
          <w:ilvl w:val="0"/>
          <w:numId w:val="11"/>
        </w:numPr>
        <w:spacing w:before="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tržieb za vlastné výkony a tovar s uvedením ich opisu a vyčíslením hodnoty tržieb podľa jednotlivých hlavných druhov výrobkov, služieb hlavnej nezdaňovanej činnosti a zdaňovanej činnosti účtovnej jednotky za bežné účtovné obdobie.</w:t>
      </w:r>
    </w:p>
    <w:tbl>
      <w:tblPr>
        <w:tblW w:w="5000" w:type="pct"/>
        <w:jc w:val="right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4082"/>
        <w:gridCol w:w="3018"/>
        <w:gridCol w:w="3022"/>
      </w:tblGrid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1F37AC">
            <w:pPr>
              <w:pStyle w:val="Nadpis3"/>
              <w:spacing w:before="0" w:after="0"/>
              <w:rPr>
                <w:rFonts w:ascii="Arial Narrow" w:hAnsi="Arial Narrow"/>
                <w:sz w:val="16"/>
                <w:szCs w:val="16"/>
                <w:lang w:val="sk-SK"/>
              </w:rPr>
            </w:pPr>
            <w:r>
              <w:rPr>
                <w:rFonts w:ascii="Arial Narrow" w:hAnsi="Arial Narrow"/>
                <w:sz w:val="16"/>
                <w:szCs w:val="16"/>
                <w:lang w:val="sk-SK"/>
              </w:rPr>
              <w:t>Druh a opis  tržieb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Hlavná nezdaňovaná činnosť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  <w:rPr>
                <w:b/>
                <w:snapToGrid w:val="0"/>
                <w:color w:val="000000"/>
                <w:sz w:val="16"/>
                <w:szCs w:val="16"/>
              </w:rPr>
            </w:pPr>
            <w:r>
              <w:rPr>
                <w:b/>
                <w:snapToGrid w:val="0"/>
                <w:color w:val="000000"/>
                <w:sz w:val="16"/>
                <w:szCs w:val="16"/>
              </w:rPr>
              <w:t>Zdaňovaná činnosť</w:t>
            </w:r>
          </w:p>
        </w:tc>
      </w:tr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0275B3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napToGrid w:val="0"/>
                <w:color w:val="000000"/>
                <w:sz w:val="16"/>
                <w:szCs w:val="16"/>
              </w:rPr>
              <w:t>2592</w:t>
            </w: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2592</w:t>
            </w: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right"/>
              <w:rPr>
                <w:snapToGrid w:val="0"/>
                <w:color w:val="000000"/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right"/>
        </w:trPr>
        <w:tc>
          <w:tcPr>
            <w:tcW w:w="201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  <w:tc>
          <w:tcPr>
            <w:tcW w:w="14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E1225" w:rsidRDefault="008E1225">
            <w:pPr>
              <w:spacing w:before="0" w:after="0" w:line="240" w:lineRule="auto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rPr>
          <w:rFonts w:cs="Arial"/>
          <w:b/>
          <w:sz w:val="22"/>
          <w:szCs w:val="22"/>
        </w:rPr>
      </w:pPr>
    </w:p>
    <w:p w:rsidR="008E1225" w:rsidRDefault="001F37AC">
      <w:pPr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osobitné výnosy, zákonné poplatky a iné ostatné výnosy za bezprostredne predchádzajúce účtovné obdobie a za bežné účtovné obdobie.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467"/>
        <w:gridCol w:w="2758"/>
      </w:tblGrid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výnosov</w:t>
            </w: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významných súm dotácií zo štátneho rozpočtu, štátnych fondov, z prostriedkov Európskej únie, dotácií z rozpočtu obce a z rozpočtu vyššieho územného celku, ktoré účtovná jednotka prijala v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2"/>
        <w:gridCol w:w="2829"/>
        <w:gridCol w:w="2396"/>
      </w:tblGrid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súm dotácií a grantov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644161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  <w:highlight w:val="yellow"/>
              </w:rPr>
            </w:pPr>
            <w:r>
              <w:rPr>
                <w:rFonts w:cs="Arial"/>
                <w:b/>
                <w:sz w:val="22"/>
                <w:szCs w:val="22"/>
                <w:highlight w:val="yellow"/>
              </w:rPr>
              <w:t>Normatív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numPr>
          <w:ilvl w:val="0"/>
          <w:numId w:val="11"/>
        </w:numPr>
        <w:spacing w:before="240" w:line="240" w:lineRule="auto"/>
        <w:ind w:left="284" w:hanging="284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Opis a vyčíslenie hodnoty významných položiek príjmov z reklám, ktoré sú určené na charitatívne účely, a charitatívnej lotérie prijatých v  bezprostredne predchádzajúcom účtovnom období a 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4901"/>
        <w:gridCol w:w="2830"/>
        <w:gridCol w:w="2396"/>
      </w:tblGrid>
      <w:tr w:rsidR="008E1225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charitatívnej reklamy a charitatívnej lotérie</w:t>
            </w: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4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 xml:space="preserve">Opis a vyčíslenie hodnoty významných súm v nadväznosti na položky výkazu ziskov a strát v členení na nepeňažné dary, náklady na ostatné služby, osobitné náklady a iné ostatné náklady poskytnuté v bežnom účtovnom období. 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324"/>
        <w:gridCol w:w="2407"/>
        <w:gridCol w:w="2396"/>
      </w:tblGrid>
      <w:tr w:rsidR="008E1225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Druh a opis významných položiek nákladov</w:t>
            </w: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rFonts w:cs="Arial"/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rFonts w:cs="Arial"/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keepNext/>
              <w:spacing w:before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8E1225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c>
          <w:tcPr>
            <w:tcW w:w="5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rPr>
                <w:rFonts w:cs="Arial"/>
                <w:sz w:val="22"/>
                <w:szCs w:val="22"/>
              </w:rPr>
            </w:pPr>
          </w:p>
        </w:tc>
        <w:tc>
          <w:tcPr>
            <w:tcW w:w="2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225" w:rsidRDefault="008E1225">
            <w:pPr>
              <w:snapToGrid w:val="0"/>
              <w:spacing w:before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</w:tbl>
    <w:p w:rsidR="008E1225" w:rsidRDefault="001F37AC">
      <w:pPr>
        <w:numPr>
          <w:ilvl w:val="0"/>
          <w:numId w:val="11"/>
        </w:numPr>
        <w:spacing w:before="240" w:line="240" w:lineRule="auto"/>
        <w:ind w:left="0" w:firstLine="0"/>
        <w:rPr>
          <w:rFonts w:cs="Arial"/>
          <w:b/>
          <w:sz w:val="22"/>
          <w:szCs w:val="22"/>
        </w:rPr>
      </w:pPr>
      <w:r>
        <w:rPr>
          <w:rFonts w:eastAsia="Arial Narrow"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Prehľad o účele a výške použitia zostatku prijatého podielu zaplatenej dane v minulých účtovných obdobiach a prijatého podielu zaplatenej dane v bežnom účtovnom období.</w:t>
      </w:r>
    </w:p>
    <w:tbl>
      <w:tblPr>
        <w:tblW w:w="0" w:type="auto"/>
        <w:tblInd w:w="151" w:type="dxa"/>
        <w:tblLayout w:type="fixed"/>
        <w:tblLook w:val="04A0" w:firstRow="1" w:lastRow="0" w:firstColumn="1" w:lastColumn="0" w:noHBand="0" w:noVBand="1"/>
      </w:tblPr>
      <w:tblGrid>
        <w:gridCol w:w="5769"/>
        <w:gridCol w:w="2239"/>
        <w:gridCol w:w="2268"/>
      </w:tblGrid>
      <w:tr w:rsidR="008E1225"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Účel použitia prijatého podielu zaplatenej dane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zostatku z predchádzajúceho účtovného obdobia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rFonts w:cs="Arial"/>
                <w:b/>
                <w:sz w:val="22"/>
                <w:szCs w:val="22"/>
              </w:rPr>
              <w:t>Použitá suma z bežného účtovného obdobia</w:t>
            </w:r>
          </w:p>
        </w:tc>
      </w:tr>
      <w:tr w:rsidR="008E1225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97"/>
        </w:trPr>
        <w:tc>
          <w:tcPr>
            <w:tcW w:w="5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rFonts w:cs="Arial"/>
                <w:sz w:val="22"/>
                <w:szCs w:val="22"/>
              </w:rPr>
            </w:pPr>
          </w:p>
        </w:tc>
      </w:tr>
      <w:tr w:rsidR="008E1225">
        <w:trPr>
          <w:trHeight w:val="397"/>
        </w:trPr>
        <w:tc>
          <w:tcPr>
            <w:tcW w:w="80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rFonts w:cs="Arial"/>
                <w:b/>
                <w:sz w:val="22"/>
                <w:szCs w:val="22"/>
              </w:rPr>
              <w:t>Zostatok podielu zaplatenej dane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rFonts w:cs="Arial"/>
                <w:b/>
                <w:sz w:val="22"/>
                <w:szCs w:val="22"/>
              </w:rPr>
            </w:pPr>
          </w:p>
        </w:tc>
      </w:tr>
    </w:tbl>
    <w:p w:rsidR="008E1225" w:rsidRDefault="001F37AC">
      <w:pPr>
        <w:keepNext/>
        <w:spacing w:before="240" w:line="240" w:lineRule="auto"/>
        <w:jc w:val="center"/>
        <w:outlineLvl w:val="0"/>
        <w:rPr>
          <w:rFonts w:cs="Arial"/>
          <w:b/>
          <w:sz w:val="22"/>
          <w:szCs w:val="22"/>
        </w:rPr>
      </w:pPr>
      <w:r>
        <w:rPr>
          <w:rFonts w:cs="Arial"/>
          <w:b/>
          <w:kern w:val="2"/>
          <w:sz w:val="22"/>
          <w:szCs w:val="22"/>
        </w:rPr>
        <w:lastRenderedPageBreak/>
        <w:t>Čl. V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Opis údajov na podsúvahových účtoch</w:t>
      </w:r>
    </w:p>
    <w:p w:rsidR="008E1225" w:rsidRDefault="001F37AC">
      <w:pPr>
        <w:spacing w:before="0" w:line="240" w:lineRule="auto"/>
        <w:rPr>
          <w:b/>
          <w:sz w:val="16"/>
          <w:szCs w:val="16"/>
        </w:rPr>
      </w:pPr>
      <w:r>
        <w:rPr>
          <w:rFonts w:cs="Arial"/>
          <w:sz w:val="22"/>
          <w:szCs w:val="22"/>
        </w:rPr>
        <w:t>Významné položky zásob prijatých na komisionálny predaj, prenajatého majetku, majetku prijatého do úschovy, odpísané pohľadávky a prípadné ďalšie položky.</w:t>
      </w:r>
    </w:p>
    <w:tbl>
      <w:tblPr>
        <w:tblW w:w="49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7"/>
        <w:gridCol w:w="2471"/>
        <w:gridCol w:w="2472"/>
      </w:tblGrid>
      <w:tr w:rsidR="008E1225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Významné položky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>Hodnota majetku</w:t>
            </w: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5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2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1F37AC">
      <w:pPr>
        <w:keepNext/>
        <w:spacing w:before="240" w:line="240" w:lineRule="auto"/>
        <w:jc w:val="center"/>
        <w:outlineLvl w:val="1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Čl. VI</w:t>
      </w:r>
    </w:p>
    <w:p w:rsidR="008E1225" w:rsidRDefault="001F37AC">
      <w:pPr>
        <w:keepNext/>
        <w:spacing w:before="0" w:line="240" w:lineRule="auto"/>
        <w:jc w:val="center"/>
        <w:outlineLvl w:val="1"/>
        <w:rPr>
          <w:rFonts w:cs="Arial"/>
          <w:sz w:val="22"/>
          <w:szCs w:val="22"/>
        </w:rPr>
      </w:pPr>
      <w:r>
        <w:rPr>
          <w:rFonts w:cs="Arial"/>
          <w:b/>
          <w:sz w:val="22"/>
          <w:szCs w:val="22"/>
        </w:rPr>
        <w:t>Ďalšie informácie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b/>
          <w:sz w:val="16"/>
          <w:szCs w:val="16"/>
        </w:rPr>
      </w:pPr>
      <w:r>
        <w:rPr>
          <w:rFonts w:cs="Arial"/>
        </w:rPr>
        <w:t>(1) Opis a hodnota iných aktív, ktorými sa rozumie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aktív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</w:rPr>
        <w:t>(2) Opis a hodnota iných pasív vyplývajúcich zo súdnych rozhodnutí, z poskytnutých záruk, zo všeobecne záväzných právnych predpisov, z ručenia podľa jednotlivých druhov ručenia;  takýmito inými pasívami sú: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a)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  <w:r>
        <w:rPr>
          <w:rFonts w:cs="Arial"/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  <w:lang w:eastAsia="sk-SK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19"/>
        <w:gridCol w:w="3283"/>
      </w:tblGrid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iných pasív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Hodnota </w:t>
            </w: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68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a) povinnosť z devízových termínovaných obchodov a iných finančných derivátov,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b) povinnosť z opčných obchodov,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c) zákonná povinnosť alebo zmluvná povinnosť odobrať určité produkty alebo služby, napríklad z dodávateľských zmlúv alebo odberateľských zmlúv,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d) povinnosť z lízingových zmlúv, nájomných zmlúv, servisných zmlúv, poistných zmlúv, koncesionárskych zmlúv, licenčných zmlúv a podobných zmlúv,</w:t>
      </w:r>
    </w:p>
    <w:p w:rsidR="008E1225" w:rsidRDefault="001F37AC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  <w:r>
        <w:rPr>
          <w:rFonts w:cs="Arial"/>
        </w:rPr>
        <w:t>e) iné povinnosti.</w:t>
      </w:r>
    </w:p>
    <w:p w:rsidR="008E1225" w:rsidRDefault="008E1225">
      <w:pPr>
        <w:pStyle w:val="Textopatrenia"/>
        <w:numPr>
          <w:ilvl w:val="0"/>
          <w:numId w:val="0"/>
        </w:numPr>
        <w:tabs>
          <w:tab w:val="clear" w:pos="0"/>
          <w:tab w:val="clear" w:pos="1440"/>
        </w:tabs>
        <w:rPr>
          <w:rFonts w:cs="Arial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Opis významných položiek ostatných finančných povinností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Výška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Spriaznené osoby</w:t>
            </w: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(4) Prehľad nehnuteľných kultúrnych pamiatok, ktoré sú v správe alebo vo vlastníctve účtovnej jednotky, a to názov, adresa a číslo kultúrnej pamiatky v Ústrednom zozname pamiatkového fondu.</w:t>
      </w:r>
    </w:p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500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2"/>
        <w:gridCol w:w="2400"/>
        <w:gridCol w:w="3400"/>
      </w:tblGrid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Kultúrna pamiatka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Adresa</w:t>
            </w: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center"/>
            </w:pPr>
            <w:r>
              <w:rPr>
                <w:b/>
                <w:sz w:val="16"/>
                <w:szCs w:val="16"/>
              </w:rPr>
              <w:t>Číslo kultúrnej pamiatky</w:t>
            </w: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4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3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right"/>
              <w:rPr>
                <w:sz w:val="16"/>
                <w:szCs w:val="16"/>
              </w:rPr>
            </w:pPr>
          </w:p>
        </w:tc>
      </w:tr>
    </w:tbl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p w:rsidR="008E1225" w:rsidRDefault="001F37AC">
      <w:pPr>
        <w:spacing w:before="0" w:line="24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(5) Informácie o významných skutočnostiach, ktoré nastali medzi dňom, ku ktorému sa zostavuje účtovná závierka a dňom jej zostavenia.</w:t>
      </w:r>
    </w:p>
    <w:p w:rsidR="008E1225" w:rsidRDefault="008E1225">
      <w:pPr>
        <w:spacing w:before="0" w:line="240" w:lineRule="auto"/>
        <w:rPr>
          <w:rFonts w:cs="Arial"/>
          <w:sz w:val="22"/>
          <w:szCs w:val="22"/>
        </w:rPr>
      </w:pPr>
    </w:p>
    <w:tbl>
      <w:tblPr>
        <w:tblW w:w="4850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96"/>
      </w:tblGrid>
      <w:tr w:rsidR="008E1225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1F37AC">
            <w:pPr>
              <w:spacing w:before="0" w:after="0" w:line="240" w:lineRule="auto"/>
              <w:jc w:val="left"/>
            </w:pPr>
            <w:r>
              <w:rPr>
                <w:b/>
                <w:sz w:val="16"/>
                <w:szCs w:val="16"/>
              </w:rPr>
              <w:t>Informácia o významných skutočnostiach</w:t>
            </w:r>
          </w:p>
        </w:tc>
      </w:tr>
      <w:tr w:rsidR="008E1225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b/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  <w:tr w:rsidR="008E1225">
        <w:trPr>
          <w:trHeight w:val="284"/>
          <w:jc w:val="center"/>
        </w:trPr>
        <w:tc>
          <w:tcPr>
            <w:tcW w:w="9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E1225" w:rsidRDefault="008E1225">
            <w:pPr>
              <w:snapToGrid w:val="0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</w:tr>
    </w:tbl>
    <w:p w:rsidR="008E1225" w:rsidRDefault="008E1225"/>
    <w:sectPr w:rsidR="008E1225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6" w:h="16838"/>
      <w:pgMar w:top="851" w:right="851" w:bottom="851" w:left="993" w:header="709" w:footer="709" w:gutter="0"/>
      <w:pgNumType w:start="7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2A4A" w:rsidRDefault="00EA2A4A">
      <w:pPr>
        <w:spacing w:line="240" w:lineRule="auto"/>
      </w:pPr>
      <w:r>
        <w:separator/>
      </w:r>
    </w:p>
  </w:endnote>
  <w:endnote w:type="continuationSeparator" w:id="0">
    <w:p w:rsidR="00EA2A4A" w:rsidRDefault="00EA2A4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EE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78" w:rsidRDefault="00BA3878">
    <w:pPr>
      <w:pStyle w:val="Pta"/>
      <w:jc w:val="right"/>
      <w:rPr>
        <w:rFonts w:cs="Arial"/>
      </w:rPr>
    </w:pPr>
    <w:r>
      <w:rPr>
        <w:rFonts w:cs="Arial"/>
      </w:rPr>
      <w:t xml:space="preserve">Strana </w:t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 w:rsidR="002C315D">
      <w:rPr>
        <w:rFonts w:cs="Arial"/>
        <w:noProof/>
      </w:rPr>
      <w:t>17</w:t>
    </w:r>
    <w:r>
      <w:rPr>
        <w:rFonts w:cs="Arial"/>
      </w:rPr>
      <w:fldChar w:fldCharType="end"/>
    </w:r>
  </w:p>
  <w:p w:rsidR="00BA3878" w:rsidRDefault="00BA3878">
    <w:pPr>
      <w:pStyle w:val="Pta"/>
      <w:tabs>
        <w:tab w:val="center" w:pos="5102"/>
        <w:tab w:val="right" w:pos="10204"/>
      </w:tabs>
      <w:ind w:right="360"/>
      <w:rPr>
        <w:rFonts w:cs="Aria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78" w:rsidRDefault="00BA3878">
    <w:pPr>
      <w:pStyle w:val="Pta"/>
      <w:jc w:val="right"/>
      <w:rPr>
        <w:rFonts w:cs="Arial"/>
      </w:rPr>
    </w:pPr>
    <w:r>
      <w:rPr>
        <w:rFonts w:cs="Arial"/>
      </w:rPr>
      <w:t>Strana 7</w:t>
    </w:r>
  </w:p>
  <w:p w:rsidR="00BA3878" w:rsidRDefault="00BA3878">
    <w:pPr>
      <w:pStyle w:val="Pta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2A4A" w:rsidRDefault="00EA2A4A">
      <w:pPr>
        <w:spacing w:before="0" w:after="0"/>
      </w:pPr>
      <w:r>
        <w:separator/>
      </w:r>
    </w:p>
  </w:footnote>
  <w:footnote w:type="continuationSeparator" w:id="0">
    <w:p w:rsidR="00EA2A4A" w:rsidRDefault="00EA2A4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78" w:rsidRDefault="00BA3878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3878" w:rsidRDefault="00BA3878">
    <w:pPr>
      <w:pStyle w:val="Hlavika"/>
      <w:jc w:val="right"/>
      <w:rPr>
        <w:rFonts w:cs="Arial"/>
      </w:rPr>
    </w:pPr>
  </w:p>
  <w:p w:rsidR="00BA3878" w:rsidRDefault="00BA3878">
    <w:pPr>
      <w:pStyle w:val="Hlavika"/>
      <w:rPr>
        <w:rFonts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pStyle w:val="Bododvodnenie"/>
      <w:lvlText w:val="K bodu %1"/>
      <w:lvlJc w:val="left"/>
      <w:pPr>
        <w:tabs>
          <w:tab w:val="left" w:pos="0"/>
        </w:tabs>
        <w:ind w:left="0" w:firstLine="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(%1)"/>
      <w:lvlJc w:val="left"/>
      <w:pPr>
        <w:tabs>
          <w:tab w:val="left" w:pos="0"/>
        </w:tabs>
        <w:ind w:left="644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decimal"/>
      <w:lvlText w:val="(%1)"/>
      <w:lvlJc w:val="left"/>
      <w:pPr>
        <w:tabs>
          <w:tab w:val="left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  <w:rPr>
        <w:rFonts w:cs="Times New Roman" w:hint="default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upperRoman"/>
      <w:pStyle w:val="Nadpis11"/>
      <w:suff w:val="nothing"/>
      <w:lvlText w:val="Čl. %1."/>
      <w:lvlJc w:val="center"/>
      <w:pPr>
        <w:tabs>
          <w:tab w:val="left" w:pos="0"/>
        </w:tabs>
        <w:ind w:left="0" w:firstLine="0"/>
      </w:pPr>
      <w:rPr>
        <w:rFonts w:ascii="Arial" w:hAnsi="Arial" w:cs="Arial" w:hint="default"/>
        <w:b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left" w:pos="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left" w:pos="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left" w:pos="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left" w:pos="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decimal"/>
      <w:pStyle w:val="Textopatrenia"/>
      <w:lvlText w:val="(%1)"/>
      <w:lvlJc w:val="left"/>
      <w:pPr>
        <w:tabs>
          <w:tab w:val="left" w:pos="0"/>
        </w:tabs>
        <w:ind w:left="1440" w:hanging="360"/>
      </w:pPr>
      <w:rPr>
        <w:rFonts w:ascii="Arial Narrow" w:hAnsi="Arial Narrow" w:cs="Arial Narrow" w:hint="default"/>
        <w:color w:val="00000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16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88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60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32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504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76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48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200" w:hanging="180"/>
      </w:pPr>
      <w:rPr>
        <w:rFonts w:cs="Times New Roman" w:hint="default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pStyle w:val="Textpoznmky"/>
      <w:lvlText w:val="(%1)"/>
      <w:lvlJc w:val="left"/>
      <w:pPr>
        <w:tabs>
          <w:tab w:val="left" w:pos="0"/>
        </w:tabs>
        <w:ind w:left="0" w:firstLine="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200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72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left" w:pos="0"/>
        </w:tabs>
        <w:ind w:left="344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416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88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left" w:pos="0"/>
        </w:tabs>
        <w:ind w:left="560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632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7047" w:hanging="180"/>
      </w:pPr>
      <w:rPr>
        <w:rFonts w:cs="Times New Roman" w:hint="default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decimal"/>
      <w:lvlText w:val="(%1)"/>
      <w:lvlJc w:val="left"/>
      <w:pPr>
        <w:tabs>
          <w:tab w:val="left" w:pos="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120" w:hanging="18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upperLetter"/>
      <w:lvlText w:val="%1."/>
      <w:lvlJc w:val="left"/>
      <w:pPr>
        <w:tabs>
          <w:tab w:val="left" w:pos="0"/>
        </w:tabs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tabs>
          <w:tab w:val="left" w:pos="0"/>
        </w:tabs>
        <w:ind w:left="720" w:hanging="360"/>
      </w:pPr>
      <w:rPr>
        <w:rFonts w:hint="default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left" w:pos="708"/>
        </w:tabs>
        <w:ind w:left="1080" w:hanging="360"/>
      </w:pPr>
      <w:rPr>
        <w:rFonts w:hint="default"/>
        <w:b w:val="0"/>
        <w:i w:val="0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36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800" w:hanging="36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2160" w:hanging="36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2520" w:hanging="36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2880" w:hanging="3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3240" w:hanging="360"/>
      </w:pPr>
      <w:rPr>
        <w:rFonts w:hint="default"/>
      </w:rPr>
    </w:lvl>
  </w:abstractNum>
  <w:abstractNum w:abstractNumId="10" w15:restartNumberingAfterBreak="0">
    <w:nsid w:val="468C1B2B"/>
    <w:multiLevelType w:val="hybridMultilevel"/>
    <w:tmpl w:val="D1FEAB3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6D23BE"/>
    <w:multiLevelType w:val="multilevel"/>
    <w:tmpl w:val="756D23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9"/>
  </w:num>
  <w:num w:numId="9">
    <w:abstractNumId w:val="2"/>
  </w:num>
  <w:num w:numId="10">
    <w:abstractNumId w:val="11"/>
  </w:num>
  <w:num w:numId="11">
    <w:abstractNumId w:val="3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doNotValidateAgainstSchema/>
  <w:doNotDemarcateInvalidXml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7AC"/>
    <w:rsid w:val="000275B3"/>
    <w:rsid w:val="001F37AC"/>
    <w:rsid w:val="002C315D"/>
    <w:rsid w:val="00644161"/>
    <w:rsid w:val="008E1225"/>
    <w:rsid w:val="00AB3384"/>
    <w:rsid w:val="00BA3878"/>
    <w:rsid w:val="00C7327D"/>
    <w:rsid w:val="00D26738"/>
    <w:rsid w:val="00EA2A4A"/>
    <w:rsid w:val="00EC4752"/>
    <w:rsid w:val="01AC72AE"/>
    <w:rsid w:val="1D7B46FB"/>
    <w:rsid w:val="1FFF6BA8"/>
    <w:rsid w:val="271D2F70"/>
    <w:rsid w:val="27EC27FC"/>
    <w:rsid w:val="47CA4229"/>
    <w:rsid w:val="49137E13"/>
    <w:rsid w:val="568D5ECE"/>
    <w:rsid w:val="6909752C"/>
    <w:rsid w:val="75A52DE7"/>
    <w:rsid w:val="7ECB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AE123D02-FB4F-4511-A4FD-9D6D7AADC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uiPriority="7"/>
    <w:lsdException w:name="heading 1" w:qFormat="1"/>
    <w:lsdException w:name="heading 2" w:uiPriority="6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6"/>
    <w:lsdException w:name="footer" w:uiPriority="7"/>
    <w:lsdException w:name="caption" w:uiPriority="7"/>
    <w:lsdException w:name="page number" w:uiPriority="7"/>
    <w:lsdException w:name="List" w:uiPriority="7"/>
    <w:lsdException w:name="Title" w:qFormat="1"/>
    <w:lsdException w:name="Default Paragraph Font" w:semiHidden="1"/>
    <w:lsdException w:name="Body Text" w:uiPriority="6"/>
    <w:lsdException w:name="Subtitle" w:qFormat="1"/>
    <w:lsdException w:name="Strong" w:uiPriority="6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7"/>
    <w:pPr>
      <w:suppressAutoHyphens/>
      <w:spacing w:before="120" w:after="120" w:line="360" w:lineRule="auto"/>
      <w:jc w:val="both"/>
    </w:pPr>
    <w:rPr>
      <w:rFonts w:ascii="Arial Narrow" w:eastAsia="SimSun" w:hAnsi="Arial Narrow" w:cs="Arial Narrow"/>
      <w:szCs w:val="24"/>
      <w:lang w:eastAsia="cs-CZ"/>
    </w:rPr>
  </w:style>
  <w:style w:type="paragraph" w:styleId="Nadpis2">
    <w:name w:val="heading 2"/>
    <w:basedOn w:val="Normlny"/>
    <w:next w:val="Normlny"/>
    <w:uiPriority w:val="6"/>
    <w:pPr>
      <w:keepNext/>
      <w:numPr>
        <w:ilvl w:val="1"/>
        <w:numId w:val="1"/>
      </w:numPr>
      <w:spacing w:before="240" w:after="60"/>
      <w:outlineLvl w:val="1"/>
    </w:pPr>
    <w:rPr>
      <w:b/>
      <w:i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spacing w:before="240" w:after="60" w:line="240" w:lineRule="auto"/>
      <w:jc w:val="left"/>
      <w:outlineLvl w:val="2"/>
    </w:pPr>
    <w:rPr>
      <w:rFonts w:ascii="Arial" w:hAnsi="Arial"/>
      <w:b/>
      <w:bCs/>
      <w:sz w:val="26"/>
      <w:szCs w:val="26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6"/>
    <w:pPr>
      <w:spacing w:before="0" w:after="140" w:line="276" w:lineRule="auto"/>
    </w:pPr>
  </w:style>
  <w:style w:type="paragraph" w:styleId="Popis">
    <w:name w:val="caption"/>
    <w:basedOn w:val="Normlny"/>
    <w:uiPriority w:val="7"/>
    <w:pPr>
      <w:suppressLineNumbers/>
    </w:pPr>
    <w:rPr>
      <w:rFonts w:cs="Lucida Sans"/>
      <w:i/>
      <w:iCs/>
      <w:sz w:val="24"/>
    </w:rPr>
  </w:style>
  <w:style w:type="paragraph" w:styleId="Pta">
    <w:name w:val="footer"/>
    <w:basedOn w:val="Normlny"/>
    <w:uiPriority w:val="7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uiPriority w:val="6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uiPriority w:val="7"/>
    <w:rPr>
      <w:rFonts w:cs="Lucida Sans"/>
    </w:rPr>
  </w:style>
  <w:style w:type="character" w:styleId="slostrany">
    <w:name w:val="page number"/>
    <w:basedOn w:val="DefaultParagraphFont1"/>
    <w:uiPriority w:val="7"/>
    <w:rPr>
      <w:rFonts w:cs="Times New Roman" w:hint="default"/>
      <w:sz w:val="24"/>
      <w:szCs w:val="24"/>
    </w:rPr>
  </w:style>
  <w:style w:type="character" w:customStyle="1" w:styleId="DefaultParagraphFont1">
    <w:name w:val="Default Paragraph Font1"/>
    <w:uiPriority w:val="6"/>
    <w:rPr>
      <w:rFonts w:hint="default"/>
      <w:sz w:val="24"/>
      <w:szCs w:val="24"/>
    </w:rPr>
  </w:style>
  <w:style w:type="character" w:styleId="Siln">
    <w:name w:val="Strong"/>
    <w:basedOn w:val="DefaultParagraphFont1"/>
    <w:uiPriority w:val="6"/>
    <w:rPr>
      <w:rFonts w:cs="Times New Roman" w:hint="default"/>
      <w:b/>
      <w:sz w:val="24"/>
      <w:szCs w:val="24"/>
    </w:rPr>
  </w:style>
  <w:style w:type="character" w:customStyle="1" w:styleId="WW8Num1z0">
    <w:name w:val="WW8Num1z0"/>
    <w:uiPriority w:val="3"/>
    <w:rPr>
      <w:rFonts w:cs="Times New Roman" w:hint="default"/>
      <w:b/>
    </w:rPr>
  </w:style>
  <w:style w:type="character" w:customStyle="1" w:styleId="WW8Num1z1">
    <w:name w:val="WW8Num1z1"/>
    <w:uiPriority w:val="3"/>
    <w:rPr>
      <w:rFonts w:cs="Times New Roman" w:hint="default"/>
    </w:rPr>
  </w:style>
  <w:style w:type="character" w:customStyle="1" w:styleId="WW8Num2z0">
    <w:name w:val="WW8Num2z0"/>
    <w:uiPriority w:val="3"/>
    <w:rPr>
      <w:rFonts w:cs="Times New Roman" w:hint="default"/>
    </w:rPr>
  </w:style>
  <w:style w:type="character" w:customStyle="1" w:styleId="WW8Num3z0">
    <w:name w:val="WW8Num3z0"/>
    <w:uiPriority w:val="3"/>
    <w:rPr>
      <w:rFonts w:ascii="Arial Narrow" w:hAnsi="Arial Narrow" w:cs="Arial Narrow" w:hint="default"/>
    </w:rPr>
  </w:style>
  <w:style w:type="character" w:customStyle="1" w:styleId="WW8Num3z1">
    <w:name w:val="WW8Num3z1"/>
    <w:uiPriority w:val="3"/>
    <w:rPr>
      <w:rFonts w:cs="Times New Roman" w:hint="default"/>
    </w:rPr>
  </w:style>
  <w:style w:type="character" w:customStyle="1" w:styleId="WW8Num4z0">
    <w:name w:val="WW8Num4z0"/>
    <w:uiPriority w:val="3"/>
    <w:rPr>
      <w:rFonts w:ascii="Arial" w:hAnsi="Arial" w:cs="Arial" w:hint="default"/>
      <w:b/>
      <w:sz w:val="24"/>
      <w:szCs w:val="24"/>
    </w:rPr>
  </w:style>
  <w:style w:type="character" w:customStyle="1" w:styleId="WW8Num4z1">
    <w:name w:val="WW8Num4z1"/>
    <w:uiPriority w:val="3"/>
    <w:rPr>
      <w:rFonts w:cs="Times New Roman" w:hint="default"/>
    </w:rPr>
  </w:style>
  <w:style w:type="character" w:customStyle="1" w:styleId="WW8Num5z0">
    <w:name w:val="WW8Num5z0"/>
    <w:uiPriority w:val="3"/>
    <w:rPr>
      <w:rFonts w:ascii="Arial Narrow" w:hAnsi="Arial Narrow" w:cs="Arial Narrow" w:hint="default"/>
      <w:color w:val="000000"/>
      <w:sz w:val="24"/>
      <w:szCs w:val="24"/>
    </w:rPr>
  </w:style>
  <w:style w:type="character" w:customStyle="1" w:styleId="WW8Num5z1">
    <w:name w:val="WW8Num5z1"/>
    <w:uiPriority w:val="3"/>
    <w:rPr>
      <w:rFonts w:cs="Times New Roman" w:hint="default"/>
    </w:rPr>
  </w:style>
  <w:style w:type="character" w:customStyle="1" w:styleId="WW8Num6z0">
    <w:name w:val="WW8Num6z0"/>
    <w:uiPriority w:val="3"/>
    <w:rPr>
      <w:rFonts w:cs="Times New Roman" w:hint="default"/>
    </w:rPr>
  </w:style>
  <w:style w:type="character" w:customStyle="1" w:styleId="Nadpis2Char">
    <w:name w:val="Nadpis 2 Char"/>
    <w:basedOn w:val="DefaultParagraphFont1"/>
    <w:uiPriority w:val="6"/>
    <w:rPr>
      <w:rFonts w:ascii="Cambria" w:eastAsia="Times New Roman" w:hAnsi="Cambria" w:cs="Times New Roman" w:hint="eastAsia"/>
      <w:b/>
      <w:i/>
      <w:sz w:val="28"/>
      <w:szCs w:val="28"/>
      <w:lang w:eastAsia="cs-CZ"/>
    </w:rPr>
  </w:style>
  <w:style w:type="character" w:customStyle="1" w:styleId="TextbublinyChar">
    <w:name w:val="Text bubliny Char"/>
    <w:basedOn w:val="DefaultParagraphFont1"/>
    <w:uiPriority w:val="7"/>
    <w:rPr>
      <w:rFonts w:ascii="Tahoma" w:hAnsi="Tahoma" w:cs="Tahoma" w:hint="default"/>
      <w:sz w:val="16"/>
      <w:szCs w:val="16"/>
      <w:lang w:eastAsia="cs-CZ"/>
    </w:rPr>
  </w:style>
  <w:style w:type="character" w:customStyle="1" w:styleId="CommentReference1">
    <w:name w:val="Comment Reference1"/>
    <w:basedOn w:val="DefaultParagraphFont1"/>
    <w:uiPriority w:val="6"/>
    <w:rPr>
      <w:rFonts w:cs="Times New Roman" w:hint="default"/>
      <w:sz w:val="16"/>
      <w:szCs w:val="16"/>
    </w:rPr>
  </w:style>
  <w:style w:type="character" w:customStyle="1" w:styleId="TextkomentraChar">
    <w:name w:val="Text komentára Char"/>
    <w:basedOn w:val="DefaultParagraphFont1"/>
    <w:uiPriority w:val="7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PredmetkomentraChar">
    <w:name w:val="Predmet komentára Char"/>
    <w:basedOn w:val="TextkomentraChar"/>
    <w:uiPriority w:val="6"/>
    <w:rPr>
      <w:rFonts w:ascii="Arial Narrow" w:hAnsi="Arial Narrow" w:cs="Arial Narrow" w:hint="default"/>
      <w:b/>
      <w:sz w:val="24"/>
      <w:szCs w:val="24"/>
      <w:lang w:eastAsia="cs-CZ"/>
    </w:rPr>
  </w:style>
  <w:style w:type="character" w:customStyle="1" w:styleId="PtaChar">
    <w:name w:val="Päta Char"/>
    <w:basedOn w:val="DefaultParagraphFont1"/>
    <w:uiPriority w:val="7"/>
    <w:rPr>
      <w:rFonts w:ascii="Arial" w:hAnsi="Arial" w:cs="Arial" w:hint="default"/>
      <w:sz w:val="24"/>
      <w:szCs w:val="24"/>
      <w:lang w:eastAsia="cs-CZ"/>
    </w:rPr>
  </w:style>
  <w:style w:type="character" w:customStyle="1" w:styleId="HlavikaChar">
    <w:name w:val="Hlavička Char"/>
    <w:basedOn w:val="DefaultParagraphFont1"/>
    <w:uiPriority w:val="6"/>
    <w:rPr>
      <w:rFonts w:ascii="Arial Narrow" w:hAnsi="Arial Narrow" w:cs="Arial Narrow" w:hint="default"/>
      <w:sz w:val="24"/>
      <w:szCs w:val="24"/>
      <w:lang w:eastAsia="cs-CZ"/>
    </w:rPr>
  </w:style>
  <w:style w:type="character" w:customStyle="1" w:styleId="Nadpis1Char">
    <w:name w:val="Nadpis 1 Char"/>
    <w:basedOn w:val="DefaultParagraphFont1"/>
    <w:uiPriority w:val="6"/>
    <w:rPr>
      <w:rFonts w:ascii="Cambria" w:eastAsia="Times New Roman" w:hAnsi="Cambria" w:cs="Times New Roman" w:hint="eastAsia"/>
      <w:b/>
      <w:kern w:val="2"/>
      <w:sz w:val="32"/>
      <w:szCs w:val="32"/>
      <w:lang w:eastAsia="cs-CZ"/>
    </w:rPr>
  </w:style>
  <w:style w:type="character" w:customStyle="1" w:styleId="tltlnzovChar115ptAntiqueOliveNiejeTun">
    <w:name w:val="Štýl Štýl § názov Char + 115 pt + Antique Olive Nie je Tučné"/>
    <w:basedOn w:val="DefaultParagraphFont1"/>
    <w:uiPriority w:val="15"/>
    <w:rPr>
      <w:rFonts w:ascii="Arial" w:hAnsi="Arial" w:cs="Arial" w:hint="default"/>
      <w:b/>
      <w:sz w:val="20"/>
      <w:szCs w:val="20"/>
      <w:lang w:val="sk-SK" w:eastAsia="sk-SK"/>
    </w:rPr>
  </w:style>
  <w:style w:type="character" w:customStyle="1" w:styleId="WW8Num12z0">
    <w:name w:val="WW8Num12z0"/>
    <w:uiPriority w:val="3"/>
    <w:rPr>
      <w:rFonts w:hint="default"/>
    </w:rPr>
  </w:style>
  <w:style w:type="character" w:customStyle="1" w:styleId="WW8Num20z0">
    <w:name w:val="WW8Num20z0"/>
    <w:uiPriority w:val="3"/>
    <w:rPr>
      <w:rFonts w:hint="default"/>
    </w:rPr>
  </w:style>
  <w:style w:type="character" w:customStyle="1" w:styleId="WW8Num10z0">
    <w:name w:val="WW8Num10z0"/>
    <w:uiPriority w:val="3"/>
    <w:rPr>
      <w:rFonts w:hint="default"/>
      <w:b/>
    </w:rPr>
  </w:style>
  <w:style w:type="character" w:customStyle="1" w:styleId="WW8Num10z1">
    <w:name w:val="WW8Num10z1"/>
    <w:uiPriority w:val="3"/>
    <w:rPr>
      <w:rFonts w:hint="default"/>
    </w:rPr>
  </w:style>
  <w:style w:type="character" w:customStyle="1" w:styleId="WW8Num10z3">
    <w:name w:val="WW8Num10z3"/>
    <w:uiPriority w:val="3"/>
    <w:rPr>
      <w:rFonts w:hint="default"/>
    </w:rPr>
  </w:style>
  <w:style w:type="character" w:customStyle="1" w:styleId="WW8Num22z0">
    <w:name w:val="WW8Num22z0"/>
    <w:uiPriority w:val="3"/>
    <w:rPr>
      <w:rFonts w:ascii="Symbol" w:hAnsi="Symbol" w:cs="Symbol" w:hint="default"/>
    </w:rPr>
  </w:style>
  <w:style w:type="character" w:customStyle="1" w:styleId="WW8Num22z1">
    <w:name w:val="WW8Num22z1"/>
    <w:uiPriority w:val="3"/>
    <w:rPr>
      <w:rFonts w:ascii="Courier New" w:hAnsi="Courier New" w:cs="Courier New" w:hint="default"/>
    </w:rPr>
  </w:style>
  <w:style w:type="character" w:customStyle="1" w:styleId="WW8Num22z2">
    <w:name w:val="WW8Num22z2"/>
    <w:uiPriority w:val="3"/>
    <w:rPr>
      <w:rFonts w:ascii="Wingdings" w:hAnsi="Wingdings" w:cs="Wingdings" w:hint="default"/>
    </w:rPr>
  </w:style>
  <w:style w:type="paragraph" w:customStyle="1" w:styleId="Nadpis">
    <w:name w:val="Nadpis"/>
    <w:basedOn w:val="Normlny"/>
    <w:next w:val="Zkladntext"/>
    <w:uiPriority w:val="6"/>
    <w:pPr>
      <w:keepNext/>
      <w:spacing w:before="24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x">
    <w:name w:val="Index"/>
    <w:basedOn w:val="Normlny"/>
    <w:uiPriority w:val="6"/>
    <w:pPr>
      <w:suppressLineNumbers/>
    </w:pPr>
    <w:rPr>
      <w:rFonts w:cs="Lucida Sans"/>
    </w:rPr>
  </w:style>
  <w:style w:type="paragraph" w:customStyle="1" w:styleId="BalloonText1">
    <w:name w:val="Balloon Text1"/>
    <w:basedOn w:val="Normlny"/>
    <w:uiPriority w:val="6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customStyle="1" w:styleId="CommentText1">
    <w:name w:val="Comment Text1"/>
    <w:basedOn w:val="Normlny"/>
    <w:uiPriority w:val="6"/>
    <w:rPr>
      <w:szCs w:val="20"/>
    </w:rPr>
  </w:style>
  <w:style w:type="paragraph" w:customStyle="1" w:styleId="CommentSubject1">
    <w:name w:val="Comment Subject1"/>
    <w:basedOn w:val="CommentText1"/>
    <w:next w:val="CommentText1"/>
    <w:uiPriority w:val="6"/>
    <w:rPr>
      <w:b/>
    </w:rPr>
  </w:style>
  <w:style w:type="paragraph" w:customStyle="1" w:styleId="Hlavikaapta">
    <w:name w:val="Hlavička a päta"/>
    <w:basedOn w:val="Normlny"/>
    <w:uiPriority w:val="6"/>
    <w:pPr>
      <w:suppressLineNumbers/>
      <w:tabs>
        <w:tab w:val="center" w:pos="4819"/>
        <w:tab w:val="right" w:pos="9638"/>
      </w:tabs>
    </w:pPr>
  </w:style>
  <w:style w:type="paragraph" w:customStyle="1" w:styleId="Nadpis11">
    <w:name w:val="Nadpis 11"/>
    <w:basedOn w:val="Normlny"/>
    <w:next w:val="Nadpis2"/>
    <w:uiPriority w:val="6"/>
    <w:pPr>
      <w:keepNext/>
      <w:numPr>
        <w:numId w:val="2"/>
      </w:numPr>
      <w:spacing w:line="240" w:lineRule="auto"/>
      <w:jc w:val="center"/>
      <w:outlineLvl w:val="0"/>
    </w:pPr>
    <w:rPr>
      <w:b/>
      <w:lang w:eastAsia="sk-SK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15"/>
    <w:pPr>
      <w:suppressAutoHyphens/>
      <w:spacing w:line="360" w:lineRule="auto"/>
      <w:jc w:val="both"/>
    </w:pPr>
    <w:rPr>
      <w:rFonts w:ascii="Arial" w:eastAsia="SimSun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uiPriority w:val="15"/>
    <w:pPr>
      <w:ind w:left="108"/>
    </w:pPr>
  </w:style>
  <w:style w:type="paragraph" w:customStyle="1" w:styleId="Bododvodnenie">
    <w:name w:val="Bod odôvodnenie"/>
    <w:uiPriority w:val="6"/>
    <w:pPr>
      <w:numPr>
        <w:numId w:val="3"/>
      </w:numPr>
      <w:suppressAutoHyphens/>
      <w:spacing w:before="120" w:after="120"/>
    </w:pPr>
    <w:rPr>
      <w:rFonts w:ascii="Arial" w:eastAsia="SimSun" w:hAnsi="Arial" w:cs="Arial"/>
      <w:b/>
      <w:sz w:val="24"/>
      <w:szCs w:val="24"/>
      <w:lang w:eastAsia="cs-CZ"/>
    </w:rPr>
  </w:style>
  <w:style w:type="paragraph" w:customStyle="1" w:styleId="tlArialPodaokraja">
    <w:name w:val="Štýl Arial Podľa okraja"/>
    <w:uiPriority w:val="15"/>
    <w:pPr>
      <w:suppressAutoHyphens/>
      <w:jc w:val="both"/>
    </w:pPr>
    <w:rPr>
      <w:rFonts w:ascii="Arial" w:eastAsia="SimSun" w:hAnsi="Arial" w:cs="Arial"/>
      <w:sz w:val="16"/>
      <w:szCs w:val="16"/>
      <w:lang w:eastAsia="cs-CZ"/>
    </w:rPr>
  </w:style>
  <w:style w:type="paragraph" w:customStyle="1" w:styleId="Textpoznmky">
    <w:name w:val="Text poznámky"/>
    <w:basedOn w:val="Normlny"/>
    <w:uiPriority w:val="7"/>
    <w:pPr>
      <w:numPr>
        <w:numId w:val="4"/>
      </w:numPr>
      <w:spacing w:line="240" w:lineRule="auto"/>
    </w:pPr>
  </w:style>
  <w:style w:type="paragraph" w:customStyle="1" w:styleId="Normlny1">
    <w:name w:val="Normálny1"/>
    <w:next w:val="Normlny"/>
    <w:uiPriority w:val="7"/>
    <w:pPr>
      <w:suppressAutoHyphens/>
      <w:spacing w:before="120" w:after="120" w:line="360" w:lineRule="auto"/>
      <w:ind w:firstLine="709"/>
      <w:jc w:val="both"/>
    </w:pPr>
    <w:rPr>
      <w:rFonts w:ascii="Arial" w:eastAsia="SimSun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7"/>
    <w:pPr>
      <w:numPr>
        <w:numId w:val="5"/>
      </w:numPr>
      <w:tabs>
        <w:tab w:val="left" w:pos="1440"/>
      </w:tabs>
      <w:suppressAutoHyphens/>
      <w:spacing w:before="120" w:after="120"/>
      <w:jc w:val="both"/>
    </w:pPr>
    <w:rPr>
      <w:rFonts w:ascii="Arial Narrow" w:eastAsia="SimSun" w:hAnsi="Arial Narrow" w:cs="Arial Narrow"/>
      <w:sz w:val="22"/>
      <w:szCs w:val="22"/>
      <w:lang w:eastAsia="cs-CZ"/>
    </w:rPr>
  </w:style>
  <w:style w:type="paragraph" w:customStyle="1" w:styleId="TopHeader">
    <w:name w:val="Top Header"/>
    <w:basedOn w:val="Normlny"/>
    <w:uiPriority w:val="7"/>
    <w:pPr>
      <w:spacing w:before="0" w:after="0" w:line="240" w:lineRule="auto"/>
      <w:jc w:val="center"/>
    </w:pPr>
    <w:rPr>
      <w:b/>
      <w:sz w:val="22"/>
      <w:szCs w:val="22"/>
      <w:lang w:eastAsia="en-US"/>
    </w:rPr>
  </w:style>
  <w:style w:type="paragraph" w:customStyle="1" w:styleId="Obsahtabuky">
    <w:name w:val="Obsah tabuľky"/>
    <w:basedOn w:val="Normlny"/>
    <w:uiPriority w:val="7"/>
    <w:pPr>
      <w:widowControl w:val="0"/>
      <w:suppressLineNumbers/>
    </w:pPr>
  </w:style>
  <w:style w:type="paragraph" w:customStyle="1" w:styleId="Zhlavietabuky">
    <w:name w:val="Záhlavie tabuľky"/>
    <w:basedOn w:val="Obsahtabuky"/>
    <w:uiPriority w:val="6"/>
    <w:pPr>
      <w:jc w:val="center"/>
    </w:pPr>
    <w:rPr>
      <w:b/>
      <w:bCs/>
    </w:rPr>
  </w:style>
  <w:style w:type="paragraph" w:styleId="Normlnywebov">
    <w:name w:val="Normal (Web)"/>
    <w:basedOn w:val="Normlny"/>
    <w:uiPriority w:val="99"/>
    <w:unhideWhenUsed/>
    <w:rsid w:val="00AB3384"/>
    <w:pPr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1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ADOWIN\reports\vykazy\Poznamky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EF1298-C1C4-49C5-A045-1356454B0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</Template>
  <TotalTime>0</TotalTime>
  <Pages>11</Pages>
  <Words>2454</Words>
  <Characters>13989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</dc:creator>
  <cp:lastModifiedBy>ekonom</cp:lastModifiedBy>
  <cp:revision>2</cp:revision>
  <dcterms:created xsi:type="dcterms:W3CDTF">2024-03-27T11:17:00Z</dcterms:created>
  <dcterms:modified xsi:type="dcterms:W3CDTF">2024-03-27T11:17:00Z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C6673835F41D494E9558C967E4DCC703_11</vt:lpwstr>
  </property>
  <property fmtid="{D5CDD505-2E9C-101B-9397-08002B2CF9AE}" pid="3" name="KSOProductBuildVer">
    <vt:lpwstr>1033-12.2.0.13431</vt:lpwstr>
  </property>
</Properties>
</file>