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B2519" w:rsidRDefault="00501B85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2023</w:t>
      </w:r>
    </w:p>
    <w:p w:rsidR="00BB2519" w:rsidRDefault="00501B85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B2519" w:rsidRDefault="00501B85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pre malé účtovné </w:t>
      </w:r>
      <w:r>
        <w:rPr>
          <w:rFonts w:ascii="Arial Narrow" w:hAnsi="Arial Narrow"/>
          <w:b/>
          <w:sz w:val="22"/>
          <w:szCs w:val="22"/>
        </w:rPr>
        <w:t>jednotky</w:t>
      </w:r>
      <w:r>
        <w:rPr>
          <w:rFonts w:ascii="Arial Narrow" w:hAnsi="Arial Narrow"/>
          <w:sz w:val="22"/>
          <w:szCs w:val="22"/>
        </w:rPr>
        <w:t xml:space="preserve"> </w:t>
      </w:r>
    </w:p>
    <w:p w:rsidR="00BB2519" w:rsidRDefault="00BB2519">
      <w:pPr>
        <w:rPr>
          <w:rFonts w:ascii="Arial Narrow" w:hAnsi="Arial Narrow"/>
          <w:sz w:val="22"/>
          <w:szCs w:val="22"/>
        </w:rPr>
      </w:pPr>
    </w:p>
    <w:p w:rsidR="00BB2519" w:rsidRDefault="00501B85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BB2519" w:rsidRDefault="00BB2519">
      <w:pPr>
        <w:rPr>
          <w:rFonts w:ascii="Arial Narrow" w:hAnsi="Arial Narrow"/>
          <w:sz w:val="22"/>
          <w:szCs w:val="22"/>
        </w:rPr>
      </w:pPr>
    </w:p>
    <w:p w:rsidR="00BB2519" w:rsidRDefault="00501B85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BB2519" w:rsidRDefault="00BB2519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4A0" w:firstRow="1" w:lastRow="0" w:firstColumn="1" w:lastColumn="0" w:noHBand="0" w:noVBand="1"/>
      </w:tblPr>
      <w:tblGrid>
        <w:gridCol w:w="2574"/>
        <w:gridCol w:w="6808"/>
      </w:tblGrid>
      <w:tr w:rsidR="00BB2519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B2519" w:rsidRDefault="00501B8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B2519" w:rsidRDefault="00501B85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Swell Holding a.s.</w:t>
            </w:r>
          </w:p>
        </w:tc>
      </w:tr>
      <w:tr w:rsidR="00BB2519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B2519" w:rsidRDefault="00501B8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B2519" w:rsidRDefault="00501B8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Š</w:t>
            </w:r>
            <w:r>
              <w:rPr>
                <w:rFonts w:ascii="Arial Narrow" w:hAnsi="Arial Narrow" w:cs="Arial Narrow"/>
                <w:sz w:val="22"/>
                <w:szCs w:val="22"/>
              </w:rPr>
              <w:t>ustekova 51, 851 04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Bratislava</w:t>
            </w:r>
          </w:p>
        </w:tc>
      </w:tr>
      <w:tr w:rsidR="00BB2519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B2519" w:rsidRDefault="00501B8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B2519" w:rsidRDefault="00501B8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BB2519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B2519" w:rsidRDefault="00501B8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B2519" w:rsidRDefault="00501B8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rPr>
                <w:rFonts w:ascii="Arial Narrow" w:hAnsi="Arial Narrow" w:cs="Arial Narrow"/>
                <w:sz w:val="22"/>
                <w:szCs w:val="22"/>
              </w:rPr>
              <w:t>24.08.2021</w:t>
            </w:r>
          </w:p>
        </w:tc>
      </w:tr>
      <w:tr w:rsidR="00BB2519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B2519" w:rsidRDefault="00501B8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B2519" w:rsidRDefault="00501B8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Poradenské služby v oblasti podnikania a riadenia</w:t>
            </w:r>
          </w:p>
        </w:tc>
      </w:tr>
      <w:tr w:rsidR="00BB251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B2519" w:rsidRDefault="00501B8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B2519" w:rsidRDefault="00501B8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nie je subjektom verejného záujmu (§ 2/14 ZoU).</w:t>
            </w:r>
          </w:p>
        </w:tc>
      </w:tr>
      <w:tr w:rsidR="00BB251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B2519" w:rsidRDefault="00501B8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B2519" w:rsidRDefault="00501B85" w:rsidP="00501B8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2023</w:t>
            </w:r>
          </w:p>
        </w:tc>
      </w:tr>
    </w:tbl>
    <w:p w:rsidR="00BB2519" w:rsidRDefault="00BB251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B2519" w:rsidRDefault="00501B85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</w:t>
      </w: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 (2 ZoU)</w:t>
      </w:r>
    </w:p>
    <w:p w:rsidR="00BB2519" w:rsidRDefault="00501B85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</w:t>
      </w:r>
      <w:r>
        <w:rPr>
          <w:rFonts w:ascii="Arial Narrow" w:hAnsi="Arial Narrow" w:cs="Arial Narrow"/>
          <w:bCs/>
          <w:sz w:val="22"/>
          <w:szCs w:val="22"/>
        </w:rPr>
        <w:t xml:space="preserve">nepresiahol 8 000 000 eur a priemerný prepočítaný počet zamestnancov počas účtovného obdobia presiahol 10, ale nepresiahol 50).  </w:t>
      </w:r>
    </w:p>
    <w:p w:rsidR="00BB2519" w:rsidRDefault="00BB251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BB2519">
        <w:tc>
          <w:tcPr>
            <w:tcW w:w="2197" w:type="dxa"/>
            <w:shd w:val="clear" w:color="auto" w:fill="auto"/>
          </w:tcPr>
          <w:p w:rsidR="00BB2519" w:rsidRDefault="00501B8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shd w:val="clear" w:color="auto" w:fill="auto"/>
          </w:tcPr>
          <w:p w:rsidR="00BB2519" w:rsidRDefault="00501B8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BB2519" w:rsidRDefault="00501B8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BB2519" w:rsidRDefault="00501B8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501B85">
        <w:tc>
          <w:tcPr>
            <w:tcW w:w="2197" w:type="dxa"/>
            <w:shd w:val="clear" w:color="auto" w:fill="auto"/>
          </w:tcPr>
          <w:p w:rsidR="00501B85" w:rsidRDefault="00501B85" w:rsidP="00501B85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501B85" w:rsidRDefault="00501B85" w:rsidP="00501B8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34 748</w:t>
            </w:r>
          </w:p>
        </w:tc>
        <w:tc>
          <w:tcPr>
            <w:tcW w:w="3260" w:type="dxa"/>
            <w:shd w:val="clear" w:color="auto" w:fill="auto"/>
          </w:tcPr>
          <w:p w:rsidR="00501B85" w:rsidRDefault="00501B85" w:rsidP="00501B8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34 832</w:t>
            </w:r>
          </w:p>
        </w:tc>
        <w:tc>
          <w:tcPr>
            <w:tcW w:w="1276" w:type="dxa"/>
            <w:shd w:val="clear" w:color="auto" w:fill="auto"/>
          </w:tcPr>
          <w:p w:rsidR="00501B85" w:rsidRDefault="00501B85" w:rsidP="00501B8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501B85">
        <w:tc>
          <w:tcPr>
            <w:tcW w:w="2197" w:type="dxa"/>
            <w:shd w:val="clear" w:color="auto" w:fill="auto"/>
          </w:tcPr>
          <w:p w:rsidR="00501B85" w:rsidRDefault="00501B85" w:rsidP="00501B85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501B85" w:rsidRDefault="00501B85" w:rsidP="00501B8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501B85" w:rsidRDefault="00501B85" w:rsidP="00501B8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100</w:t>
            </w:r>
          </w:p>
        </w:tc>
        <w:tc>
          <w:tcPr>
            <w:tcW w:w="1276" w:type="dxa"/>
            <w:shd w:val="clear" w:color="auto" w:fill="auto"/>
          </w:tcPr>
          <w:p w:rsidR="00501B85" w:rsidRDefault="00501B85" w:rsidP="00501B8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501B85">
        <w:trPr>
          <w:trHeight w:val="101"/>
        </w:trPr>
        <w:tc>
          <w:tcPr>
            <w:tcW w:w="2197" w:type="dxa"/>
            <w:shd w:val="clear" w:color="auto" w:fill="auto"/>
          </w:tcPr>
          <w:p w:rsidR="00501B85" w:rsidRDefault="00501B85" w:rsidP="00501B85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501B85" w:rsidRDefault="00501B85" w:rsidP="00501B8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501B85" w:rsidRDefault="00501B85" w:rsidP="00501B8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501B85" w:rsidRDefault="00501B85" w:rsidP="00501B8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BB2519" w:rsidRDefault="00BB251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B2519" w:rsidRDefault="00501B8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</w:t>
      </w:r>
      <w:r>
        <w:rPr>
          <w:rFonts w:ascii="Arial Narrow" w:hAnsi="Arial Narrow"/>
          <w:sz w:val="22"/>
          <w:szCs w:val="22"/>
        </w:rPr>
        <w:t xml:space="preserve">Opatrenie </w:t>
      </w:r>
      <w:r>
        <w:rPr>
          <w:rFonts w:ascii="Arial Narrow" w:hAnsi="Arial Narrow"/>
          <w:sz w:val="22"/>
          <w:szCs w:val="22"/>
        </w:rPr>
        <w:t>č.MF/23378/2014-74)</w:t>
      </w:r>
      <w:r>
        <w:rPr>
          <w:rFonts w:ascii="Arial Narrow" w:hAnsi="Arial Narrow" w:cs="Arial Narrow"/>
          <w:sz w:val="22"/>
          <w:szCs w:val="22"/>
        </w:rPr>
        <w:t>.</w:t>
      </w:r>
    </w:p>
    <w:p w:rsidR="00BB2519" w:rsidRDefault="00BB2519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BB2519" w:rsidRDefault="00501B8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Účtovná závierka Spoločnosti k 31.12.2022</w:t>
      </w:r>
      <w:r>
        <w:rPr>
          <w:rFonts w:ascii="Arial Narrow" w:hAnsi="Arial Narrow" w:cs="Arial Narrow"/>
          <w:sz w:val="22"/>
          <w:szCs w:val="22"/>
        </w:rPr>
        <w:t xml:space="preserve"> za predchádzajúce účtovné obdobie bola schválená </w:t>
      </w:r>
      <w:r>
        <w:rPr>
          <w:rFonts w:ascii="Arial Narrow" w:hAnsi="Arial Narrow" w:cs="Arial Narrow"/>
          <w:sz w:val="22"/>
          <w:szCs w:val="22"/>
        </w:rPr>
        <w:t>26</w:t>
      </w:r>
      <w:bookmarkStart w:id="0" w:name="_GoBack"/>
      <w:bookmarkEnd w:id="0"/>
      <w:r>
        <w:rPr>
          <w:rFonts w:ascii="Arial Narrow" w:hAnsi="Arial Narrow" w:cs="Arial Narrow"/>
          <w:sz w:val="22"/>
          <w:szCs w:val="22"/>
        </w:rPr>
        <w:t>.03</w:t>
      </w:r>
      <w:r>
        <w:rPr>
          <w:rFonts w:ascii="Arial Narrow" w:hAnsi="Arial Narrow" w:cs="Arial Narrow"/>
          <w:sz w:val="22"/>
          <w:szCs w:val="22"/>
        </w:rPr>
        <w:t>.2023</w:t>
      </w:r>
      <w:r>
        <w:rPr>
          <w:rFonts w:ascii="Arial Narrow" w:hAnsi="Arial Narrow" w:cs="Arial Narrow"/>
          <w:sz w:val="22"/>
          <w:szCs w:val="22"/>
        </w:rPr>
        <w:t>.</w:t>
      </w:r>
    </w:p>
    <w:p w:rsidR="00BB2519" w:rsidRDefault="00501B8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B2519" w:rsidRDefault="00501B8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:rsidR="00BB2519" w:rsidRDefault="00BB251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B2519" w:rsidRDefault="00501B85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 spoločnosť nie je súčasťou konsolidovaného celku</w:t>
      </w:r>
    </w:p>
    <w:p w:rsidR="00BB2519" w:rsidRDefault="00BB2519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BB2519" w:rsidRDefault="00501B8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Účtovná jednotka  nie je materskou účtovnou jednotkou. </w:t>
      </w:r>
    </w:p>
    <w:p w:rsidR="00BB2519" w:rsidRDefault="00BB251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B2519" w:rsidRDefault="00BB251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B2519" w:rsidRDefault="00501B8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745"/>
        <w:gridCol w:w="2464"/>
        <w:gridCol w:w="2311"/>
      </w:tblGrid>
      <w:tr w:rsidR="00BB2519">
        <w:trPr>
          <w:trHeight w:val="537"/>
        </w:trPr>
        <w:tc>
          <w:tcPr>
            <w:tcW w:w="2492" w:type="pct"/>
            <w:vAlign w:val="center"/>
          </w:tcPr>
          <w:p w:rsidR="00BB2519" w:rsidRDefault="00501B85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BB2519" w:rsidRDefault="00501B8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BB2519" w:rsidRDefault="00501B8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B2519">
        <w:trPr>
          <w:trHeight w:val="163"/>
        </w:trPr>
        <w:tc>
          <w:tcPr>
            <w:tcW w:w="2492" w:type="pct"/>
            <w:vAlign w:val="bottom"/>
          </w:tcPr>
          <w:p w:rsidR="00BB2519" w:rsidRDefault="00501B8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:rsidR="00BB2519" w:rsidRDefault="00501B8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1214" w:type="pct"/>
            <w:vAlign w:val="bottom"/>
          </w:tcPr>
          <w:p w:rsidR="00BB2519" w:rsidRDefault="00501B8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BB2519" w:rsidRDefault="00BB2519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BB2519" w:rsidRDefault="00BB251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B2519" w:rsidRDefault="00501B85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BB2519" w:rsidRDefault="00BB251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B2519" w:rsidRDefault="00501B85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jednotky:</w:t>
      </w:r>
    </w:p>
    <w:p w:rsidR="00BB2519" w:rsidRDefault="00501B85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informácie o podmienkach a výške jednotlivých druhov záruk: </w:t>
      </w:r>
      <w:r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BB2519" w:rsidRDefault="00501B85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</w:t>
      </w:r>
      <w:r>
        <w:rPr>
          <w:rFonts w:ascii="Arial Narrow" w:hAnsi="Arial Narrow" w:cs="Arial Narrow"/>
          <w:bCs/>
          <w:sz w:val="22"/>
          <w:szCs w:val="22"/>
        </w:rPr>
        <w:t xml:space="preserve"> zabezpečení: žiadne</w:t>
      </w:r>
    </w:p>
    <w:p w:rsidR="00BB2519" w:rsidRDefault="00501B85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o pôžičkách a ich podmienkach: žiadne</w:t>
      </w:r>
    </w:p>
    <w:p w:rsidR="00BB2519" w:rsidRDefault="00501B85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o použití majetku účtovnej jednotky na súkromné účely: žiadne</w:t>
      </w:r>
    </w:p>
    <w:p w:rsidR="00BB2519" w:rsidRDefault="00BB251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B2519" w:rsidRDefault="00BB251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B2519" w:rsidRDefault="00501B85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BB2519" w:rsidRDefault="00BB2519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B2519" w:rsidRDefault="00501B8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Spoločnosť zostavila účtovnú závierku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</w:t>
      </w:r>
    </w:p>
    <w:p w:rsidR="00BB2519" w:rsidRDefault="00BB251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B2519" w:rsidRDefault="00501B8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Spoločnosť aplikovala účtovné zásad</w:t>
      </w:r>
      <w:r>
        <w:rPr>
          <w:rFonts w:ascii="Arial Narrow" w:hAnsi="Arial Narrow" w:cs="Arial Narrow"/>
          <w:sz w:val="22"/>
          <w:szCs w:val="22"/>
        </w:rPr>
        <w:t xml:space="preserve">y a účtovné metódy, ktoré sú dôležité na posúdenie majetku, záväzkov, finančnej situácie a výsledku hospodárenia konzistentne. </w:t>
      </w:r>
    </w:p>
    <w:p w:rsidR="00BB2519" w:rsidRDefault="00BB2519">
      <w:pPr>
        <w:numPr>
          <w:ilvl w:val="0"/>
          <w:numId w:val="2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B2519" w:rsidRDefault="00501B8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Spoločnosť si nie je vedomá žiadnych </w:t>
      </w:r>
      <w:r>
        <w:rPr>
          <w:rFonts w:ascii="Arial Narrow" w:hAnsi="Arial Narrow" w:cs="Arial Narrow"/>
          <w:b/>
          <w:sz w:val="22"/>
          <w:szCs w:val="22"/>
        </w:rPr>
        <w:t>transakcií, ktoré by neboli neuvedené v súvahe</w:t>
      </w:r>
      <w:r>
        <w:rPr>
          <w:rFonts w:ascii="Arial Narrow" w:hAnsi="Arial Narrow" w:cs="Arial Narrow"/>
          <w:sz w:val="22"/>
          <w:szCs w:val="22"/>
        </w:rPr>
        <w:t>, a ktoré by pre spoločnosť predstavovali</w:t>
      </w:r>
      <w:r>
        <w:rPr>
          <w:rFonts w:ascii="Arial Narrow" w:hAnsi="Arial Narrow" w:cs="Arial Narrow"/>
          <w:sz w:val="22"/>
          <w:szCs w:val="22"/>
        </w:rPr>
        <w:t xml:space="preserve"> významné budúce </w:t>
      </w:r>
      <w:r>
        <w:rPr>
          <w:rFonts w:ascii="Arial Narrow" w:hAnsi="Arial Narrow" w:cs="Arial Narrow"/>
          <w:sz w:val="22"/>
          <w:szCs w:val="22"/>
          <w:u w:val="single"/>
        </w:rPr>
        <w:t>riziko alebo prínosy.</w:t>
      </w:r>
      <w:r>
        <w:rPr>
          <w:rFonts w:ascii="Arial Narrow" w:hAnsi="Arial Narrow" w:cs="Arial Narrow"/>
          <w:sz w:val="22"/>
          <w:szCs w:val="22"/>
        </w:rPr>
        <w:t xml:space="preserve"> (napr. súdne spory, zmluvy, časovo limitované licencie a oprávnenia, podnikové kombinácie, záväzky investovať, dopad legislatívy, celkový pokles v hospodárskom segmente):    </w:t>
      </w:r>
    </w:p>
    <w:p w:rsidR="00BB2519" w:rsidRDefault="00BB251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B2519" w:rsidRDefault="00501B8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</w:t>
      </w:r>
      <w:r>
        <w:rPr>
          <w:rFonts w:ascii="Arial Narrow" w:hAnsi="Arial Narrow" w:cs="Arial Narrow"/>
          <w:sz w:val="22"/>
          <w:szCs w:val="22"/>
        </w:rPr>
        <w:t>záväzkov (vrátane rozhodujúcich odhadov):</w:t>
      </w:r>
    </w:p>
    <w:p w:rsidR="00BB2519" w:rsidRDefault="00501B8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p w:rsidR="00BB2519" w:rsidRDefault="00BB251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BB2519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BB2519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B2519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Vlastné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náklady</w:t>
            </w:r>
          </w:p>
        </w:tc>
      </w:tr>
      <w:tr w:rsidR="00BB2519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B2519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B2519" w:rsidRDefault="00501B85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B2519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B2519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tok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B2519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B2519" w:rsidRDefault="00501B85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B2519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B2519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B2519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Reprodukčná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B2519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B2519" w:rsidRDefault="00501B85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B2519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B2519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B2519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B2519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Časové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B2519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B2519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B2519" w:rsidRDefault="00501B85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B2519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B2519">
        <w:tc>
          <w:tcPr>
            <w:tcW w:w="706" w:type="dxa"/>
            <w:shd w:val="clear" w:color="auto" w:fill="auto"/>
          </w:tcPr>
          <w:p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BB2519" w:rsidRDefault="00501B85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</w:tcPr>
          <w:p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B2519">
        <w:tc>
          <w:tcPr>
            <w:tcW w:w="706" w:type="dxa"/>
            <w:shd w:val="clear" w:color="auto" w:fill="auto"/>
          </w:tcPr>
          <w:p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BB2519" w:rsidRDefault="00501B85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</w:tcPr>
          <w:p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B2519">
        <w:tc>
          <w:tcPr>
            <w:tcW w:w="706" w:type="dxa"/>
            <w:shd w:val="clear" w:color="auto" w:fill="auto"/>
          </w:tcPr>
          <w:p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BB2519" w:rsidRDefault="00501B85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</w:tcPr>
          <w:p w:rsidR="00BB2519" w:rsidRDefault="00501B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B2519" w:rsidRDefault="00BB2519">
      <w:pPr>
        <w:jc w:val="both"/>
        <w:rPr>
          <w:rFonts w:ascii="Arial Narrow" w:hAnsi="Arial Narrow" w:cs="Arial Narrow"/>
          <w:sz w:val="22"/>
          <w:szCs w:val="22"/>
        </w:rPr>
      </w:pPr>
    </w:p>
    <w:p w:rsidR="00BB2519" w:rsidRDefault="00501B8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BB2519" w:rsidRDefault="00501B8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Záväzky účtovná jednotka ocenila menovitou hodnotou záväzkov. Rezervy účtovná jednot</w:t>
      </w:r>
      <w:r>
        <w:rPr>
          <w:rFonts w:ascii="Arial Narrow" w:hAnsi="Arial Narrow" w:cs="Arial Narrow"/>
          <w:sz w:val="22"/>
          <w:szCs w:val="22"/>
        </w:rPr>
        <w:t xml:space="preserve">ka ocenila odborným odhadom budúcej menovitej hodnoty potrebnej na ich úhradu. </w:t>
      </w:r>
    </w:p>
    <w:p w:rsidR="00BB2519" w:rsidRDefault="00501B8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:rsidR="00BB2519" w:rsidRDefault="00501B8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BB2519" w:rsidRDefault="00501B85">
      <w:pPr>
        <w:spacing w:after="12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/>
          <w:sz w:val="22"/>
          <w:szCs w:val="22"/>
        </w:rPr>
        <w:t xml:space="preserve">: </w:t>
      </w:r>
    </w:p>
    <w:p w:rsidR="00BB2519" w:rsidRDefault="00501B85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</w:t>
      </w:r>
      <w:r>
        <w:rPr>
          <w:rFonts w:ascii="Arial Narrow" w:hAnsi="Arial Narrow" w:cs="Arial Narrow"/>
          <w:sz w:val="22"/>
          <w:szCs w:val="22"/>
        </w:rPr>
        <w:t>sné listy), deriváty (opcie, futures, swapy, forwardy), nástroje peňažného trhu (pokladničné poukážky, vkladové listy).</w:t>
      </w:r>
    </w:p>
    <w:p w:rsidR="00BB2519" w:rsidRDefault="00501B85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:rsidR="00BB2519" w:rsidRDefault="00501B85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</w:t>
      </w:r>
      <w:r>
        <w:rPr>
          <w:rFonts w:ascii="Arial Narrow" w:hAnsi="Arial Narrow" w:cs="Arial Narrow"/>
          <w:sz w:val="22"/>
          <w:szCs w:val="22"/>
          <w:u w:val="single"/>
        </w:rPr>
        <w:t>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BB2519" w:rsidRDefault="00501B85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BB2519" w:rsidRDefault="00501B85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BB2519" w:rsidRDefault="00501B85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ÚJ po</w:t>
      </w:r>
      <w:r>
        <w:rPr>
          <w:rFonts w:ascii="Arial Narrow" w:hAnsi="Arial Narrow" w:cs="Arial Narrow"/>
          <w:sz w:val="22"/>
          <w:szCs w:val="22"/>
        </w:rPr>
        <w:t xml:space="preserve">užíva pri oceňovaní úbytku rovnakého druhu zásob a cenných papierov – </w:t>
      </w:r>
      <w:r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BB2519" w:rsidRDefault="00501B85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BB2519" w:rsidRDefault="00501B85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</w:rPr>
        <w:t xml:space="preserve">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BB2519" w:rsidRDefault="00501B8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BB2519" w:rsidRDefault="00BB2519"/>
    <w:p w:rsidR="00BB2519" w:rsidRDefault="00501B85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57"/>
        <w:gridCol w:w="1005"/>
        <w:gridCol w:w="2087"/>
        <w:gridCol w:w="2239"/>
      </w:tblGrid>
      <w:tr w:rsidR="00BB2519">
        <w:tc>
          <w:tcPr>
            <w:tcW w:w="4218" w:type="dxa"/>
          </w:tcPr>
          <w:p w:rsidR="00BB2519" w:rsidRDefault="00501B85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BB2519" w:rsidRDefault="00501B85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</w:tcPr>
          <w:p w:rsidR="00BB2519" w:rsidRDefault="00501B85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BB2519" w:rsidRDefault="00501B85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BB2519" w:rsidRDefault="00501B85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BB2519" w:rsidRDefault="00501B85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</w:t>
            </w:r>
            <w:r>
              <w:rPr>
                <w:rFonts w:ascii="Arial Narrow" w:hAnsi="Arial Narrow" w:cs="Arial"/>
                <w:b/>
                <w:sz w:val="22"/>
                <w:szCs w:val="22"/>
              </w:rPr>
              <w:t>t rokov)</w:t>
            </w:r>
          </w:p>
        </w:tc>
        <w:tc>
          <w:tcPr>
            <w:tcW w:w="2268" w:type="dxa"/>
          </w:tcPr>
          <w:p w:rsidR="00BB2519" w:rsidRDefault="00501B85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BB2519" w:rsidRDefault="00501B85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BB2519">
        <w:tc>
          <w:tcPr>
            <w:tcW w:w="4218" w:type="dxa"/>
          </w:tcPr>
          <w:p w:rsidR="00BB2519" w:rsidRDefault="00501B85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BB2519" w:rsidRDefault="00501B8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BB2519" w:rsidRDefault="00501B8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BB2519" w:rsidRDefault="00501B8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BB2519">
        <w:tc>
          <w:tcPr>
            <w:tcW w:w="4218" w:type="dxa"/>
          </w:tcPr>
          <w:p w:rsidR="00BB2519" w:rsidRDefault="00501B85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BB2519" w:rsidRDefault="00501B8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BB2519" w:rsidRDefault="00501B8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BB2519" w:rsidRDefault="00501B8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BB2519">
        <w:tc>
          <w:tcPr>
            <w:tcW w:w="4218" w:type="dxa"/>
          </w:tcPr>
          <w:p w:rsidR="00BB2519" w:rsidRDefault="00501B85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BB2519" w:rsidRDefault="00501B8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BB2519" w:rsidRDefault="00501B8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BB2519" w:rsidRDefault="00501B8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BB2519">
        <w:tc>
          <w:tcPr>
            <w:tcW w:w="4218" w:type="dxa"/>
          </w:tcPr>
          <w:p w:rsidR="00BB2519" w:rsidRDefault="00501B85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</w:tcPr>
          <w:p w:rsidR="00BB2519" w:rsidRDefault="00501B8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BB2519" w:rsidRDefault="00501B8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BB2519" w:rsidRDefault="00501B8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BB2519">
        <w:tc>
          <w:tcPr>
            <w:tcW w:w="4218" w:type="dxa"/>
          </w:tcPr>
          <w:p w:rsidR="00BB2519" w:rsidRDefault="00501B85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BB2519" w:rsidRDefault="00501B8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BB2519" w:rsidRDefault="00501B8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BB2519" w:rsidRDefault="00501B8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14,3</w:t>
            </w:r>
          </w:p>
        </w:tc>
      </w:tr>
      <w:tr w:rsidR="00BB2519">
        <w:tc>
          <w:tcPr>
            <w:tcW w:w="4218" w:type="dxa"/>
          </w:tcPr>
          <w:p w:rsidR="00BB2519" w:rsidRDefault="00501B85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BB2519" w:rsidRDefault="00501B8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BB2519" w:rsidRDefault="00501B8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BB2519" w:rsidRDefault="00501B8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BB2519">
        <w:tc>
          <w:tcPr>
            <w:tcW w:w="4218" w:type="dxa"/>
          </w:tcPr>
          <w:p w:rsidR="00BB2519" w:rsidRDefault="00501B85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BB2519" w:rsidRDefault="00501B8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BB2519" w:rsidRDefault="00501B8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BB2519" w:rsidRDefault="00501B8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</w:tbl>
    <w:p w:rsidR="00BB2519" w:rsidRDefault="00501B85">
      <w:p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BB2519" w:rsidRDefault="00BB2519">
      <w:pPr>
        <w:jc w:val="both"/>
        <w:rPr>
          <w:rFonts w:ascii="Arial Narrow" w:hAnsi="Arial Narrow" w:cs="Arial"/>
          <w:sz w:val="22"/>
          <w:szCs w:val="22"/>
        </w:rPr>
      </w:pPr>
    </w:p>
    <w:p w:rsidR="00BB2519" w:rsidRDefault="00BB2519">
      <w:pPr>
        <w:jc w:val="both"/>
        <w:rPr>
          <w:rFonts w:ascii="Arial Narrow" w:hAnsi="Arial Narrow" w:cs="Arial"/>
          <w:sz w:val="22"/>
          <w:szCs w:val="22"/>
        </w:rPr>
      </w:pPr>
    </w:p>
    <w:p w:rsidR="00BB2519" w:rsidRDefault="00501B85">
      <w:pPr>
        <w:spacing w:after="12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 xml:space="preserve">Komentár </w:t>
      </w:r>
      <w:r>
        <w:rPr>
          <w:rFonts w:ascii="Arial Narrow" w:hAnsi="Arial Narrow"/>
          <w:sz w:val="22"/>
          <w:szCs w:val="22"/>
          <w:u w:val="single"/>
        </w:rPr>
        <w:t>k odpisovému plánu</w:t>
      </w:r>
      <w:r>
        <w:rPr>
          <w:rFonts w:ascii="Arial Narrow" w:hAnsi="Arial Narrow"/>
          <w:sz w:val="22"/>
          <w:szCs w:val="22"/>
        </w:rPr>
        <w:t xml:space="preserve">: </w:t>
      </w:r>
    </w:p>
    <w:p w:rsidR="00BB2519" w:rsidRDefault="00501B85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</w:t>
      </w:r>
      <w:r>
        <w:rPr>
          <w:rFonts w:ascii="Arial Narrow" w:hAnsi="Arial Narrow" w:cs="Arial"/>
          <w:sz w:val="22"/>
          <w:szCs w:val="22"/>
        </w:rPr>
        <w:t>počas 4 rokov od jeho obstarania.</w:t>
      </w:r>
    </w:p>
    <w:p w:rsidR="00BB2519" w:rsidRDefault="00501B85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</w:t>
      </w:r>
      <w:r>
        <w:rPr>
          <w:rFonts w:ascii="Arial Narrow" w:hAnsi="Arial Narrow" w:cs="Arial"/>
          <w:sz w:val="22"/>
          <w:szCs w:val="22"/>
        </w:rPr>
        <w:t>a zákona o dani z príjmov).</w:t>
      </w:r>
    </w:p>
    <w:p w:rsidR="00BB2519" w:rsidRDefault="00501B85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:rsidR="00BB2519" w:rsidRDefault="00501B85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</w:t>
      </w:r>
      <w:r>
        <w:rPr>
          <w:rFonts w:ascii="Arial Narrow" w:hAnsi="Arial Narrow" w:cs="Arial Narrow"/>
          <w:sz w:val="22"/>
          <w:szCs w:val="22"/>
        </w:rPr>
        <w:t>obého majetku z dôvodu jednorazového trvalého zníženia hodnoty majetku (§ 21/5 PU).</w:t>
      </w:r>
    </w:p>
    <w:p w:rsidR="00BB2519" w:rsidRDefault="00501B85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/>
          <w:sz w:val="22"/>
          <w:szCs w:val="22"/>
        </w:rPr>
        <w:t xml:space="preserve"> - položky pod 2 400 eur jednotkovej ceny so životnosťou nad jeden rok (§ 13/2 PU).</w:t>
      </w:r>
    </w:p>
    <w:p w:rsidR="00BB2519" w:rsidRDefault="00501B85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</w:t>
      </w:r>
      <w:r>
        <w:rPr>
          <w:rFonts w:ascii="Arial Narrow" w:hAnsi="Arial Narrow"/>
          <w:sz w:val="22"/>
          <w:szCs w:val="22"/>
          <w:u w:val="single"/>
        </w:rPr>
        <w:t>ného dlhodobého hmotného majetku</w:t>
      </w:r>
      <w:r>
        <w:rPr>
          <w:rFonts w:ascii="Arial Narrow" w:hAnsi="Arial Narrow"/>
          <w:sz w:val="22"/>
          <w:szCs w:val="22"/>
        </w:rPr>
        <w:t xml:space="preserve"> - položky pod 1 700 eur jednotkovej ceny so životnosťou nad jeden rok (§ 13/6 PU).</w:t>
      </w:r>
    </w:p>
    <w:p w:rsidR="00BB2519" w:rsidRDefault="00501B85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</w:t>
      </w:r>
      <w:r>
        <w:rPr>
          <w:rFonts w:ascii="Arial Narrow" w:hAnsi="Arial Narrow" w:cs="Arial Narrow"/>
          <w:sz w:val="22"/>
          <w:szCs w:val="22"/>
        </w:rPr>
        <w:t>eur za účtovné obdobie (§ 21/3 PU; § 29/2 ZDP).</w:t>
      </w:r>
    </w:p>
    <w:p w:rsidR="00BB2519" w:rsidRDefault="00501B85">
      <w:pPr>
        <w:numPr>
          <w:ilvl w:val="0"/>
          <w:numId w:val="4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BB2519" w:rsidRDefault="00BB251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B2519" w:rsidRDefault="00501B85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BB2519" w:rsidRDefault="00BB2519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BB2519" w:rsidRDefault="00501B85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BB2519">
        <w:tc>
          <w:tcPr>
            <w:tcW w:w="1601" w:type="pct"/>
            <w:shd w:val="clear" w:color="auto" w:fill="auto"/>
          </w:tcPr>
          <w:p w:rsidR="00BB2519" w:rsidRDefault="00501B8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BB2519" w:rsidRDefault="00501B8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BB2519" w:rsidRDefault="00501B8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BB2519" w:rsidRDefault="00501B8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BB2519" w:rsidRDefault="00501B8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BB2519">
        <w:tc>
          <w:tcPr>
            <w:tcW w:w="1601" w:type="pct"/>
            <w:shd w:val="clear" w:color="auto" w:fill="auto"/>
          </w:tcPr>
          <w:p w:rsidR="00BB2519" w:rsidRDefault="00BB2519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BB2519" w:rsidRDefault="00BB2519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BB2519" w:rsidRDefault="00BB2519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BB2519" w:rsidRDefault="00BB2519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BB2519" w:rsidRDefault="00BB2519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B2519">
        <w:tc>
          <w:tcPr>
            <w:tcW w:w="1601" w:type="pct"/>
            <w:shd w:val="clear" w:color="auto" w:fill="auto"/>
          </w:tcPr>
          <w:p w:rsidR="00BB2519" w:rsidRDefault="00BB2519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BB2519" w:rsidRDefault="00BB2519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BB2519" w:rsidRDefault="00BB2519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BB2519" w:rsidRDefault="00BB2519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BB2519" w:rsidRDefault="00BB2519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B2519" w:rsidRDefault="00BB251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B2519" w:rsidRDefault="00BB2519">
      <w:pPr>
        <w:jc w:val="both"/>
        <w:rPr>
          <w:rFonts w:ascii="Arial Narrow" w:hAnsi="Arial Narrow" w:cs="Arial Narrow"/>
          <w:sz w:val="22"/>
          <w:szCs w:val="22"/>
        </w:rPr>
      </w:pPr>
    </w:p>
    <w:p w:rsidR="00BB2519" w:rsidRDefault="00501B85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BB2519" w:rsidRDefault="00BB251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B2519" w:rsidRDefault="00501B8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Celková suma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záväzkov so zostatkovou </w:t>
      </w:r>
      <w:r>
        <w:rPr>
          <w:rFonts w:ascii="Arial Narrow" w:hAnsi="Arial Narrow" w:cs="Arial Narrow"/>
          <w:sz w:val="22"/>
          <w:szCs w:val="22"/>
          <w:u w:val="single"/>
        </w:rPr>
        <w:t>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BB2519">
        <w:trPr>
          <w:trHeight w:val="693"/>
          <w:jc w:val="center"/>
        </w:trPr>
        <w:tc>
          <w:tcPr>
            <w:tcW w:w="2463" w:type="pct"/>
            <w:vAlign w:val="center"/>
          </w:tcPr>
          <w:p w:rsidR="00BB2519" w:rsidRDefault="00501B85">
            <w:pPr>
              <w:pStyle w:val="TopHeader"/>
            </w:pPr>
            <w:r>
              <w:t>Názov položky</w:t>
            </w:r>
          </w:p>
        </w:tc>
        <w:tc>
          <w:tcPr>
            <w:tcW w:w="1314" w:type="pct"/>
            <w:noWrap/>
            <w:vAlign w:val="center"/>
          </w:tcPr>
          <w:p w:rsidR="00BB2519" w:rsidRDefault="00501B85">
            <w:pPr>
              <w:pStyle w:val="TopHeader"/>
            </w:pPr>
            <w:r>
              <w:t>Bežné účtovné obdobie</w:t>
            </w:r>
          </w:p>
        </w:tc>
        <w:tc>
          <w:tcPr>
            <w:tcW w:w="1223" w:type="pct"/>
            <w:vAlign w:val="center"/>
          </w:tcPr>
          <w:p w:rsidR="00BB2519" w:rsidRDefault="00501B85">
            <w:pPr>
              <w:pStyle w:val="TopHeader"/>
            </w:pPr>
            <w:r>
              <w:t>Bezprostredne predchádzajúce účtovné obdobie</w:t>
            </w:r>
          </w:p>
        </w:tc>
      </w:tr>
      <w:tr w:rsidR="00BB2519">
        <w:trPr>
          <w:trHeight w:val="207"/>
          <w:jc w:val="center"/>
        </w:trPr>
        <w:tc>
          <w:tcPr>
            <w:tcW w:w="2463" w:type="pct"/>
            <w:vAlign w:val="center"/>
          </w:tcPr>
          <w:p w:rsidR="00BB2519" w:rsidRDefault="00501B8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BB2519" w:rsidRDefault="00501B8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BB2519" w:rsidRDefault="00501B8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BB2519" w:rsidRDefault="00501B85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</w:t>
      </w:r>
      <w:r>
        <w:rPr>
          <w:rFonts w:ascii="Arial Narrow" w:hAnsi="Arial Narrow" w:cs="Arial Narrow"/>
          <w:sz w:val="22"/>
          <w:szCs w:val="22"/>
        </w:rPr>
        <w:t xml:space="preserve"> medzi dohodnutou dobou splatnosti záväzkov a závierkovým dňom (§ 12 PU).]</w:t>
      </w:r>
    </w:p>
    <w:p w:rsidR="00BB2519" w:rsidRDefault="00BB251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B2519" w:rsidRDefault="00BB251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B2519" w:rsidRDefault="00BB251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B2519" w:rsidRDefault="00BB251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B2519" w:rsidRDefault="00501B85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BB2519" w:rsidRDefault="00501B85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</w:t>
      </w:r>
      <w:r>
        <w:rPr>
          <w:rFonts w:ascii="Arial Narrow" w:hAnsi="Arial Narrow" w:cs="Arial Narrow"/>
          <w:b/>
          <w:sz w:val="22"/>
          <w:szCs w:val="22"/>
        </w:rPr>
        <w:t>ž</w:t>
      </w:r>
      <w:r>
        <w:rPr>
          <w:rFonts w:ascii="Arial Narrow" w:hAnsi="Arial Narrow" w:cs="Arial Narrow"/>
          <w:sz w:val="22"/>
          <w:szCs w:val="22"/>
        </w:rPr>
        <w:t>iadne</w:t>
      </w:r>
    </w:p>
    <w:p w:rsidR="00BB2519" w:rsidRDefault="00BB2519">
      <w:pPr>
        <w:jc w:val="both"/>
        <w:rPr>
          <w:rFonts w:ascii="Arial Narrow" w:hAnsi="Arial Narrow" w:cs="Arial Narrow"/>
          <w:sz w:val="22"/>
          <w:szCs w:val="22"/>
        </w:rPr>
      </w:pPr>
    </w:p>
    <w:p w:rsidR="00BB2519" w:rsidRDefault="00501B8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žiadne</w:t>
      </w:r>
    </w:p>
    <w:p w:rsidR="00BB2519" w:rsidRDefault="00BB2519">
      <w:pPr>
        <w:jc w:val="both"/>
        <w:rPr>
          <w:rFonts w:ascii="Arial Narrow" w:hAnsi="Arial Narrow" w:cs="Arial Narrow"/>
          <w:sz w:val="22"/>
          <w:szCs w:val="22"/>
        </w:rPr>
      </w:pPr>
    </w:p>
    <w:p w:rsidR="00BB2519" w:rsidRDefault="00501B8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</w:t>
      </w:r>
      <w:r>
        <w:rPr>
          <w:rFonts w:ascii="Arial Narrow" w:hAnsi="Arial Narrow" w:cs="Arial Narrow"/>
          <w:sz w:val="22"/>
          <w:szCs w:val="22"/>
        </w:rPr>
        <w:t>v účtovných výkazoch - napríklad zákonná povinnosť alebo zmluvná povinnosť odobrať určité množstvo produktu, uskutočniť investície a veľké opravy: žiadne</w:t>
      </w:r>
    </w:p>
    <w:p w:rsidR="00BB2519" w:rsidRDefault="00BB2519">
      <w:pPr>
        <w:jc w:val="both"/>
        <w:rPr>
          <w:rFonts w:ascii="Arial Narrow" w:hAnsi="Arial Narrow" w:cs="Arial Narrow"/>
          <w:sz w:val="22"/>
          <w:szCs w:val="22"/>
        </w:rPr>
      </w:pPr>
    </w:p>
    <w:p w:rsidR="00BB2519" w:rsidRDefault="00501B8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</w:t>
      </w:r>
      <w:r>
        <w:rPr>
          <w:rFonts w:ascii="Arial Narrow" w:hAnsi="Arial Narrow" w:cs="Arial Narrow"/>
          <w:sz w:val="22"/>
          <w:szCs w:val="22"/>
        </w:rPr>
        <w:t>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BB2519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:rsidR="00BB2519" w:rsidRDefault="00501B85">
            <w:pPr>
              <w:pStyle w:val="TopHeader"/>
            </w:pPr>
            <w:r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</w:tcPr>
          <w:p w:rsidR="00BB2519" w:rsidRDefault="00501B85">
            <w:pPr>
              <w:pStyle w:val="TopHeader"/>
            </w:pPr>
            <w:r>
              <w:t>Bežné účtovné obdobie</w:t>
            </w:r>
          </w:p>
        </w:tc>
        <w:tc>
          <w:tcPr>
            <w:tcW w:w="1593" w:type="dxa"/>
            <w:vAlign w:val="center"/>
          </w:tcPr>
          <w:p w:rsidR="00BB2519" w:rsidRDefault="00501B85">
            <w:pPr>
              <w:pStyle w:val="TopHeader"/>
            </w:pPr>
            <w:r>
              <w:t>Bezprostredne predchádzajúce účtovné obdobie</w:t>
            </w:r>
          </w:p>
        </w:tc>
      </w:tr>
      <w:tr w:rsidR="00BB2519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BB2519" w:rsidRDefault="00501B8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</w:tcPr>
          <w:p w:rsidR="00BB2519" w:rsidRDefault="00501B8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BB2519" w:rsidRDefault="00501B8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B2519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BB2519" w:rsidRDefault="00501B8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</w:tcPr>
          <w:p w:rsidR="00BB2519" w:rsidRDefault="00501B8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BB2519" w:rsidRDefault="00501B8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B2519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BB2519" w:rsidRDefault="00501B8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noWrap/>
            <w:vAlign w:val="center"/>
          </w:tcPr>
          <w:p w:rsidR="00BB2519" w:rsidRDefault="00501B8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BB2519" w:rsidRDefault="00501B8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B2519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BB2519" w:rsidRDefault="00501B8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noWrap/>
            <w:vAlign w:val="center"/>
          </w:tcPr>
          <w:p w:rsidR="00BB2519" w:rsidRDefault="00BB251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BB2519" w:rsidRDefault="00BB2519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B2519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BB2519" w:rsidRDefault="00501B8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BB2519" w:rsidRDefault="00BB251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BB2519" w:rsidRDefault="00BB2519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B2519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BB2519" w:rsidRDefault="00501B8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Iné </w:t>
            </w:r>
            <w:r>
              <w:rPr>
                <w:rFonts w:ascii="Arial Narrow" w:hAnsi="Arial Narrow"/>
                <w:sz w:val="22"/>
                <w:szCs w:val="22"/>
              </w:rPr>
              <w:t>............................</w:t>
            </w:r>
          </w:p>
        </w:tc>
        <w:tc>
          <w:tcPr>
            <w:tcW w:w="1701" w:type="dxa"/>
            <w:noWrap/>
            <w:vAlign w:val="center"/>
          </w:tcPr>
          <w:p w:rsidR="00BB2519" w:rsidRDefault="00BB251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BB2519" w:rsidRDefault="00BB2519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BB2519" w:rsidRDefault="00BB2519">
      <w:pPr>
        <w:jc w:val="both"/>
        <w:rPr>
          <w:rFonts w:ascii="Arial Narrow" w:hAnsi="Arial Narrow" w:cs="Arial Narrow"/>
          <w:sz w:val="22"/>
          <w:szCs w:val="22"/>
        </w:rPr>
      </w:pPr>
    </w:p>
    <w:p w:rsidR="00BB2519" w:rsidRDefault="00BB251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B2519" w:rsidRDefault="00501B85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BB2519" w:rsidRDefault="00501B85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BB2519" w:rsidRDefault="00BB251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B2519" w:rsidRDefault="00501B8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prehlasuje, že si nie je vedomá, že by po závierkovom dni do času zostavenia účtovnej závierky nastali významné udalosti, ktoré by mali</w:t>
      </w:r>
      <w:r>
        <w:rPr>
          <w:rFonts w:ascii="Arial Narrow" w:hAnsi="Arial Narrow" w:cs="Arial Narrow"/>
          <w:sz w:val="22"/>
          <w:szCs w:val="22"/>
        </w:rPr>
        <w:t xml:space="preserve"> významný finančný vplyv (t.j. do dňa podpísania výkazov podľa § 17/5 ZoU) a ktoré nie sú zohľadnené v súvahe alebo vo výkaze ziskov a strát.</w:t>
      </w:r>
    </w:p>
    <w:p w:rsidR="00BB2519" w:rsidRDefault="00501B8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BB2519" w:rsidRDefault="00501B8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BB2519" w:rsidRDefault="00501B8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BB2519" w:rsidRDefault="00501B8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BB2519" w:rsidRDefault="00501B8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BB2519" w:rsidRDefault="00501B8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Začatie alebo ukončenie činnosti časti účtovnej jednotky, napríklad odštepného závod</w:t>
      </w:r>
      <w:r>
        <w:rPr>
          <w:rFonts w:ascii="Arial Narrow" w:hAnsi="Arial Narrow" w:cs="Arial Narrow"/>
          <w:sz w:val="22"/>
          <w:szCs w:val="22"/>
        </w:rPr>
        <w:t xml:space="preserve">u, organizačnej zložky, prevádzkarne: </w:t>
      </w:r>
    </w:p>
    <w:p w:rsidR="00BB2519" w:rsidRDefault="00501B8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BB2519" w:rsidRDefault="00501B8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BB2519" w:rsidRDefault="00501B8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BB2519" w:rsidRDefault="00501B8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</w:t>
      </w:r>
      <w:r>
        <w:rPr>
          <w:rFonts w:ascii="Arial Narrow" w:hAnsi="Arial Narrow" w:cs="Arial Narrow"/>
          <w:sz w:val="22"/>
          <w:szCs w:val="22"/>
        </w:rPr>
        <w:t xml:space="preserve"> Získanie alebo odobratie licencií alebo iných povolení významných pre činnosť účtovnej jednotky:</w:t>
      </w:r>
    </w:p>
    <w:p w:rsidR="00BB2519" w:rsidRDefault="00BB2519">
      <w:pPr>
        <w:jc w:val="both"/>
        <w:rPr>
          <w:rFonts w:ascii="Arial Narrow" w:hAnsi="Arial Narrow" w:cs="Arial Narrow"/>
          <w:sz w:val="22"/>
          <w:szCs w:val="22"/>
        </w:rPr>
      </w:pPr>
    </w:p>
    <w:p w:rsidR="00BB2519" w:rsidRDefault="00BB251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B2519" w:rsidRDefault="00501B85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BB2519" w:rsidRDefault="00BB251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B2519" w:rsidRDefault="00501B85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 NIE</w:t>
      </w:r>
    </w:p>
    <w:p w:rsidR="00BB2519" w:rsidRDefault="00501B85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priemyselnej v</w:t>
      </w:r>
      <w:r>
        <w:rPr>
          <w:rFonts w:ascii="Arial Narrow" w:hAnsi="Arial Narrow" w:cs="Arial Narrow"/>
          <w:bCs/>
          <w:sz w:val="22"/>
          <w:szCs w:val="22"/>
        </w:rPr>
        <w:t>ýroby (§ 23d/6 ZoU): NIE</w:t>
      </w:r>
    </w:p>
    <w:p w:rsidR="00BB2519" w:rsidRDefault="00501B85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 NIE</w:t>
      </w:r>
    </w:p>
    <w:sectPr w:rsidR="00BB2519">
      <w:headerReference w:type="default" r:id="rId8"/>
      <w:footerReference w:type="default" r:id="rId9"/>
      <w:headerReference w:type="first" r:id="rId10"/>
      <w:pgSz w:w="11907" w:h="16840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501B85">
      <w:r>
        <w:separator/>
      </w:r>
    </w:p>
  </w:endnote>
  <w:endnote w:type="continuationSeparator" w:id="0">
    <w:p w:rsidR="00000000" w:rsidRDefault="00501B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B2519" w:rsidRDefault="00501B85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fldChar w:fldCharType="end"/>
    </w:r>
  </w:p>
  <w:p w:rsidR="00BB2519" w:rsidRDefault="00BB251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501B85">
      <w:r>
        <w:separator/>
      </w:r>
    </w:p>
  </w:footnote>
  <w:footnote w:type="continuationSeparator" w:id="0">
    <w:p w:rsidR="00000000" w:rsidRDefault="00501B8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B2519" w:rsidRDefault="00501B85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lang w:val="sk-SK"/>
      </w:rPr>
    </w:pPr>
    <w:r>
      <w:rPr>
        <w:rFonts w:ascii="Arial" w:hAnsi="Arial" w:cs="Arial"/>
        <w:sz w:val="22"/>
        <w:szCs w:val="22"/>
        <w:bdr w:val="single" w:sz="4" w:space="0" w:color="auto"/>
        <w:lang w:val="sk-SK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  <w:lang w:val="sk-SK"/>
      </w:rPr>
      <w:t>z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  <w:lang w:val="sk-SK"/>
      </w:rPr>
      <w:t>á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  <w:lang w:val="sk-SK"/>
      </w:rPr>
      <w:t>k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  <w:lang w:val="sk-SK"/>
      </w:rPr>
      <w:t>Ú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54009596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2121549694</w:t>
    </w:r>
  </w:p>
  <w:p w:rsidR="00BB2519" w:rsidRDefault="00BB2519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BB2519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BB2519" w:rsidRDefault="00501B85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BB2519" w:rsidRDefault="00BB2519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BB2519" w:rsidRDefault="00501B85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2519" w:rsidRDefault="00501B85">
          <w:pPr>
            <w:jc w:val="center"/>
            <w:rPr>
              <w:szCs w:val="22"/>
            </w:rPr>
          </w:pPr>
          <w:r>
            <w:rPr>
              <w:szCs w:val="22"/>
            </w:rPr>
            <w:t> 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2519" w:rsidRDefault="00501B85">
          <w:pPr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2519" w:rsidRDefault="00501B85">
          <w:pPr>
            <w:jc w:val="center"/>
            <w:rPr>
              <w:szCs w:val="22"/>
            </w:rPr>
          </w:pPr>
          <w:r>
            <w:rPr>
              <w:szCs w:val="22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2519" w:rsidRDefault="00501B85">
          <w:pPr>
            <w:jc w:val="center"/>
            <w:rPr>
              <w:szCs w:val="22"/>
            </w:rPr>
          </w:pPr>
          <w:r>
            <w:rPr>
              <w:szCs w:val="22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2519" w:rsidRDefault="00501B85">
          <w:pPr>
            <w:jc w:val="center"/>
            <w:rPr>
              <w:szCs w:val="22"/>
            </w:rPr>
          </w:pPr>
          <w:r>
            <w:rPr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2519" w:rsidRDefault="00501B85">
          <w:pPr>
            <w:jc w:val="center"/>
            <w:rPr>
              <w:szCs w:val="22"/>
            </w:rPr>
          </w:pPr>
          <w:r>
            <w:rPr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2519" w:rsidRDefault="00501B85">
          <w:pPr>
            <w:jc w:val="center"/>
            <w:rPr>
              <w:szCs w:val="22"/>
            </w:rPr>
          </w:pPr>
          <w:r>
            <w:rPr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2519" w:rsidRDefault="00501B85">
          <w:pPr>
            <w:jc w:val="center"/>
            <w:rPr>
              <w:szCs w:val="22"/>
            </w:rPr>
          </w:pPr>
          <w:r>
            <w:rPr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2519" w:rsidRDefault="00501B85">
          <w:pPr>
            <w:jc w:val="center"/>
            <w:rPr>
              <w:szCs w:val="22"/>
            </w:rPr>
          </w:pPr>
          <w:r>
            <w:rPr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B2519" w:rsidRDefault="00501B85">
          <w:pPr>
            <w:jc w:val="center"/>
            <w:rPr>
              <w:szCs w:val="22"/>
            </w:rPr>
          </w:pPr>
          <w:r>
            <w:rPr>
              <w:szCs w:val="22"/>
            </w:rPr>
            <w:t>0 </w:t>
          </w:r>
        </w:p>
      </w:tc>
    </w:tr>
  </w:tbl>
  <w:p w:rsidR="00BB2519" w:rsidRDefault="00BB2519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597DE9"/>
    <w:multiLevelType w:val="multilevel"/>
    <w:tmpl w:val="1E597DE9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6891FC1"/>
    <w:multiLevelType w:val="multilevel"/>
    <w:tmpl w:val="26891FC1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67487002"/>
    <w:multiLevelType w:val="multilevel"/>
    <w:tmpl w:val="67487002"/>
    <w:lvl w:ilvl="0">
      <w:start w:val="1"/>
      <w:numFmt w:val="decimal"/>
      <w:pStyle w:val="Nadpis1"/>
      <w:lvlText w:val="§ %1"/>
      <w:lvlJc w:val="center"/>
      <w:pPr>
        <w:tabs>
          <w:tab w:val="left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(%7)"/>
      <w:lvlJc w:val="left"/>
      <w:pPr>
        <w:tabs>
          <w:tab w:val="left" w:pos="5070"/>
        </w:tabs>
        <w:ind w:left="5070" w:hanging="39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abstractNum w:abstractNumId="3" w15:restartNumberingAfterBreak="0">
    <w:nsid w:val="79FF7CE9"/>
    <w:multiLevelType w:val="multilevel"/>
    <w:tmpl w:val="79FF7CE9"/>
    <w:lvl w:ilvl="0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1285A"/>
    <w:rsid w:val="00024CC8"/>
    <w:rsid w:val="00025F23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67688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1F1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3E5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09D3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136"/>
    <w:rsid w:val="004F48BF"/>
    <w:rsid w:val="005008FA"/>
    <w:rsid w:val="00501B85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1114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B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5DD7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2859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1358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B2519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50BF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  <w:rsid w:val="12911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E5FD7D01-F4E8-4806-83B3-4C60855142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note text" w:semiHidden="1"/>
    <w:lsdException w:name="footer" w:uiPriority="99"/>
    <w:lsdException w:name="caption" w:locked="1" w:semiHidden="1" w:unhideWhenUsed="1" w:qFormat="1"/>
    <w:lsdException w:name="footnote reference" w:semiHidden="1"/>
    <w:lsdException w:name="Title" w:uiPriority="99" w:qFormat="1"/>
    <w:lsdException w:name="Default Paragraph Font" w:semiHidden="1" w:uiPriority="1" w:unhideWhenUsed="1"/>
    <w:lsdException w:name="Body Text" w:uiPriority="1" w:unhideWhenUsed="1" w:qFormat="1"/>
    <w:lsdException w:name="Subtitle" w:locked="1" w:qFormat="1"/>
    <w:lsdException w:name="Strong" w:locked="1" w:qFormat="1"/>
    <w:lsdException w:name="Emphasis" w:locked="1" w:qFormat="1"/>
    <w:lsdException w:name="HTML Top of Form" w:semiHidden="1" w:uiPriority="99" w:unhideWhenUsed="1"/>
    <w:lsdException w:name="HTML Bottom of Form" w:semiHidden="1" w:uiPriority="99" w:unhideWhenUsed="1"/>
    <w:lsdException w:name="HTML Preformatted" w:semiHidden="1" w:unhideWhenUsed="1"/>
    <w:lsdException w:name="HTML Variable" w:semiHidden="1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zh-CN"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link w:val="ZkladntextChar"/>
    <w:uiPriority w:val="1"/>
    <w:unhideWhenUsed/>
    <w:qFormat/>
    <w:pPr>
      <w:widowControl w:val="0"/>
      <w:ind w:left="668" w:hanging="567"/>
    </w:pPr>
    <w:rPr>
      <w:lang w:val="en-US" w:eastAsia="en-US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  <w:rPr>
      <w:lang w:val="zh-CN" w:eastAsia="zh-CN"/>
    </w:rPr>
  </w:style>
  <w:style w:type="character" w:styleId="Odkaznapoznmkupodiarou">
    <w:name w:val="footnote reference"/>
    <w:semiHidden/>
    <w:rPr>
      <w:vertAlign w:val="superscript"/>
    </w:rPr>
  </w:style>
  <w:style w:type="paragraph" w:styleId="Textpoznmkypodiarou">
    <w:name w:val="footnote text"/>
    <w:basedOn w:val="Normlny"/>
    <w:link w:val="TextpoznmkypodiarouChar"/>
    <w:semiHidden/>
    <w:rPr>
      <w:sz w:val="20"/>
      <w:szCs w:val="20"/>
      <w:lang w:val="zh-CN" w:eastAsia="zh-CN"/>
    </w:rPr>
  </w:style>
  <w:style w:type="paragraph" w:styleId="Hlavika">
    <w:name w:val="header"/>
    <w:basedOn w:val="Normlny"/>
    <w:link w:val="HlavikaChar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</w:style>
  <w:style w:type="table" w:styleId="Mriekatabuky">
    <w:name w:val="Table Grid"/>
    <w:basedOn w:val="Normlnatabuka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zh-CN"/>
    </w:rPr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qFormat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0">
    <w:name w:val="Základní text"/>
    <w:pPr>
      <w:spacing w:after="240"/>
      <w:jc w:val="both"/>
    </w:pPr>
    <w:rPr>
      <w:color w:val="000000"/>
      <w:sz w:val="24"/>
      <w:szCs w:val="24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customStyle="1" w:styleId="NzovChar">
    <w:name w:val="Názov Char"/>
    <w:link w:val="Nzov"/>
    <w:uiPriority w:val="99"/>
    <w:locked/>
    <w:rPr>
      <w:rFonts w:ascii="Arial Narrow" w:hAnsi="Arial Narrow" w:cs="Arial Narrow"/>
      <w:b/>
      <w:bCs/>
      <w:kern w:val="28"/>
      <w:sz w:val="32"/>
      <w:szCs w:val="32"/>
      <w:lang w:val="sk-SK" w:eastAsia="zh-CN"/>
    </w:r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HlavikaChar">
    <w:name w:val="Hlavička Char"/>
    <w:link w:val="Hlavika"/>
    <w:locked/>
    <w:rPr>
      <w:sz w:val="24"/>
      <w:szCs w:val="24"/>
      <w:lang w:val="sk-SK" w:eastAsia="sk-SK"/>
    </w:rPr>
  </w:style>
  <w:style w:type="character" w:customStyle="1" w:styleId="ZkladntextChar">
    <w:name w:val="Základný text Char"/>
    <w:link w:val="Zkladntext"/>
    <w:uiPriority w:val="1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TextbublinyChar">
    <w:name w:val="Text bubliny Char"/>
    <w:basedOn w:val="Predvolenpsmoodseku"/>
    <w:link w:val="Textbubliny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25DD869-6BE7-43D1-99A0-9453287A22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1638</Words>
  <Characters>10154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asistent2</cp:lastModifiedBy>
  <cp:revision>2</cp:revision>
  <cp:lastPrinted>2018-02-24T14:14:00Z</cp:lastPrinted>
  <dcterms:created xsi:type="dcterms:W3CDTF">2024-04-10T14:09:00Z</dcterms:created>
  <dcterms:modified xsi:type="dcterms:W3CDTF">2024-04-10T14:09:00Z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1033-11.2.0.11513</vt:lpwstr>
  </property>
  <property fmtid="{D5CDD505-2E9C-101B-9397-08002B2CF9AE}" pid="3" name="ICV">
    <vt:lpwstr>04845962F68E4090A6807B9FE85E7C2F</vt:lpwstr>
  </property>
</Properties>
</file>