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25"/>
        <w:jc w:val="center"/>
      </w:pPr>
      <w:r>
        <w:rPr/>
      </w:r>
    </w:p>
    <w:p>
      <w:pPr>
        <w:pStyle w:val="style25"/>
        <w:jc w:val="center"/>
      </w:pPr>
      <w:r>
        <w:rPr>
          <w:b/>
          <w:u w:val="single"/>
        </w:rPr>
        <w:t>Poznámky k mikro účtovnej závierke za rok 202</w:t>
      </w:r>
      <w:r>
        <w:rPr>
          <w:b/>
          <w:u w:val="single"/>
        </w:rPr>
        <w:t>3</w:t>
      </w:r>
    </w:p>
    <w:p>
      <w:pPr>
        <w:pStyle w:val="style25"/>
      </w:pPr>
      <w:r>
        <w:rPr/>
        <w:t xml:space="preserve"> </w:t>
      </w:r>
    </w:p>
    <w:p>
      <w:pPr>
        <w:pStyle w:val="style25"/>
      </w:pPr>
      <w:r>
        <w:rPr>
          <w:b/>
          <w:bCs/>
        </w:rPr>
        <w:t xml:space="preserve">ČL. I VŠEOBECNÉ ÚDAJE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(1) Názov právnickej osoby a jej sídlo alebo meno a priezvisko fyzickej osoby. </w:t>
      </w:r>
    </w:p>
    <w:p>
      <w:pPr>
        <w:pStyle w:val="style25"/>
      </w:pPr>
      <w:r>
        <w:rPr/>
      </w:r>
    </w:p>
    <w:p>
      <w:pPr>
        <w:pStyle w:val="style25"/>
      </w:pPr>
      <w:r>
        <w:rPr/>
        <w:t>Názov spoločnosti: IVAN-KOM,s.r.o.</w:t>
      </w:r>
    </w:p>
    <w:p>
      <w:pPr>
        <w:pStyle w:val="style25"/>
      </w:pPr>
      <w:r>
        <w:rPr/>
        <w:t>Sídlo: Fričovce 313</w:t>
      </w:r>
    </w:p>
    <w:p>
      <w:pPr>
        <w:pStyle w:val="style25"/>
      </w:pPr>
      <w:r>
        <w:rPr/>
        <w:t>IČO: 46476181</w:t>
      </w:r>
    </w:p>
    <w:p>
      <w:pPr>
        <w:pStyle w:val="style25"/>
      </w:pPr>
      <w:r>
        <w:rPr/>
        <w:t>založená dňa: 23.12.2011</w:t>
      </w:r>
    </w:p>
    <w:p>
      <w:pPr>
        <w:pStyle w:val="style0"/>
      </w:pPr>
      <w:r>
        <w:rPr>
          <w:rFonts w:ascii="Arial" w:cs="Arial" w:hAnsi="Arial"/>
          <w:sz w:val="24"/>
          <w:szCs w:val="24"/>
        </w:rPr>
        <w:t>zapísaná do obchodného registra dňa: 23.12.2011</w:t>
      </w:r>
    </w:p>
    <w:p>
      <w:pPr>
        <w:pStyle w:val="style25"/>
      </w:pPr>
      <w:r>
        <w:rPr/>
      </w:r>
    </w:p>
    <w:p>
      <w:pPr>
        <w:pStyle w:val="style0"/>
      </w:pPr>
      <w:r>
        <w:rPr>
          <w:rFonts w:ascii="Arial" w:cs="Arial" w:hAnsi="Arial"/>
          <w:sz w:val="24"/>
          <w:szCs w:val="24"/>
        </w:rPr>
        <w:t xml:space="preserve"> </w:t>
      </w:r>
      <w:r>
        <w:rPr>
          <w:rFonts w:ascii="Arial" w:cs="Arial" w:hAnsi="Arial"/>
          <w:sz w:val="24"/>
          <w:szCs w:val="24"/>
        </w:rPr>
        <w:t xml:space="preserve">(2) Údaje o konsolidovanom celku – nie je súčasťou.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</w:t>
      </w:r>
      <w:r>
        <w:rPr/>
        <w:t xml:space="preserve">(3) Priemerný prepočítaný počet zamestnancov </w:t>
      </w:r>
    </w:p>
    <w:p>
      <w:pPr>
        <w:pStyle w:val="style25"/>
      </w:pPr>
      <w:r>
        <w:rPr/>
      </w:r>
    </w:p>
    <w:tbl>
      <w:tblPr>
        <w:jc w:val="left"/>
        <w:tblInd w:type="dxa" w:w="-2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88"/>
          <w:bottom w:type="dxa" w:w="0"/>
          <w:right w:type="dxa" w:w="108"/>
        </w:tblCellMar>
      </w:tblPr>
      <w:tblGrid>
        <w:gridCol w:w="3235"/>
        <w:gridCol w:w="3235"/>
        <w:gridCol w:w="3235"/>
      </w:tblGrid>
      <w:tr>
        <w:trPr>
          <w:trHeight w:hRule="atLeast" w:val="187"/>
          <w:cantSplit w:val="false"/>
        </w:trPr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 </w:t>
            </w:r>
            <w:r>
              <w:rPr>
                <w:b/>
                <w:bCs/>
              </w:rPr>
              <w:t xml:space="preserve">Názov položky 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Bežné účtovné obdobie 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Bezprostredne predchádzajúce účtovné obdobie </w:t>
            </w:r>
          </w:p>
        </w:tc>
      </w:tr>
      <w:tr>
        <w:trPr>
          <w:trHeight w:hRule="atLeast" w:val="103"/>
          <w:cantSplit w:val="false"/>
        </w:trPr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Priemerný prepočítaný počet zamestnancov 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3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3</w:t>
            </w:r>
          </w:p>
        </w:tc>
      </w:tr>
      <w:tr>
        <w:trPr>
          <w:trHeight w:hRule="atLeast" w:val="229"/>
          <w:cantSplit w:val="false"/>
        </w:trPr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Stav zamestnancov ku dňu, ku ktorému sa zostavuje účtovná závierka, z toho: 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3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3</w:t>
            </w:r>
          </w:p>
        </w:tc>
      </w:tr>
      <w:tr>
        <w:trPr>
          <w:trHeight w:hRule="atLeast" w:val="103"/>
          <w:cantSplit w:val="false"/>
        </w:trPr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Počet vedúcich zamestnancov 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1</w:t>
            </w:r>
          </w:p>
        </w:tc>
        <w:tc>
          <w:tcPr>
            <w:tcW w:type="dxa" w:w="32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1</w:t>
            </w:r>
          </w:p>
        </w:tc>
      </w:tr>
    </w:tbl>
    <w:p>
      <w:pPr>
        <w:pStyle w:val="style25"/>
      </w:pPr>
      <w:r>
        <w:rPr/>
      </w:r>
    </w:p>
    <w:p>
      <w:pPr>
        <w:pStyle w:val="style25"/>
      </w:pPr>
      <w:r>
        <w:rPr/>
        <w:t xml:space="preserve"> </w:t>
      </w:r>
      <w:r>
        <w:rPr>
          <w:b/>
          <w:bCs/>
        </w:rPr>
        <w:t xml:space="preserve">ČL. II INFORMÁCIE O PRIJATÝCH POSTUPOCH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(1) Účtovná závierka zostavená za splnenia predpokladu, že účtovná jednotka bude nepretržite pokračovať vo svojej činnosti.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(2) Spôsob oceňovania jednotlivých položiek majetku a záväzkov, a to: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a) dlhodobého nehmotného majetku, dlhodobého hmotného majetku a dlhodobého finančného majetku - obstaravacou cenou </w:t>
      </w:r>
    </w:p>
    <w:p>
      <w:pPr>
        <w:pStyle w:val="style25"/>
      </w:pPr>
      <w:r>
        <w:rPr/>
        <w:t xml:space="preserve">a) zásob obstaraných kúpou, zásob vytvorených vlastnou činnosťou -obstaravacou cenou </w:t>
      </w:r>
    </w:p>
    <w:p>
      <w:pPr>
        <w:pStyle w:val="style25"/>
        <w:spacing w:after="134" w:before="0"/>
        <w:contextualSpacing w:val="false"/>
      </w:pPr>
      <w:r>
        <w:rPr/>
        <w:t xml:space="preserve">b) pohľadávok - v menovitej hodnote </w:t>
      </w:r>
    </w:p>
    <w:p>
      <w:pPr>
        <w:pStyle w:val="style25"/>
        <w:spacing w:after="134" w:before="0"/>
        <w:contextualSpacing w:val="false"/>
      </w:pPr>
      <w:r>
        <w:rPr/>
        <w:t xml:space="preserve">c) krátkodobého finančného majetku - v menovitej hodnote </w:t>
      </w:r>
    </w:p>
    <w:p>
      <w:pPr>
        <w:pStyle w:val="style25"/>
      </w:pPr>
      <w:r>
        <w:rPr/>
        <w:t xml:space="preserve">d) záväzkov vrátane rezerv, dlhopisov, pôžičiek a úverov - v menovitej hodnote.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</w:t>
      </w:r>
      <w:r>
        <w:rPr/>
        <w:t xml:space="preserve">(3) Spôsob zostavenia odpisového plánu pre jednotlivé druhy dlhodobého hmotného majetku a dlhodobého nehmotného majetku, pričom sa uvádza doba odpisovania, použité sadzby odpisov a odpisové metódy pri určení odpisov - rovnomerne. </w:t>
      </w:r>
    </w:p>
    <w:p>
      <w:pPr>
        <w:pStyle w:val="style0"/>
      </w:pPr>
      <w:r>
        <w:rPr/>
      </w:r>
    </w:p>
    <w:p>
      <w:pPr>
        <w:pStyle w:val="style25"/>
      </w:pPr>
      <w:r>
        <w:rPr/>
        <w:t xml:space="preserve">(4) Zmeny účtovných zásad a zmeny účtovných metód s uvedením dôvodu týchto zmien a vyčíslením ich vplyvu na finančnú hodnotu majetku, záväzkov, základného imania a výsledku hospodárenia účtovnej jednotky - neboli uskutočnené.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(5) Informácie o dotáciách a ich oceňovanie v účtovníctve - neboli poskytnuté.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 významné opravy. </w:t>
      </w:r>
    </w:p>
    <w:p>
      <w:pPr>
        <w:pStyle w:val="style25"/>
      </w:pPr>
      <w:r>
        <w:rPr/>
      </w:r>
    </w:p>
    <w:p>
      <w:pPr>
        <w:pStyle w:val="style25"/>
      </w:pPr>
      <w:r>
        <w:rPr>
          <w:b/>
          <w:bCs/>
        </w:rPr>
        <w:t xml:space="preserve">ČL. III INFORMÁCIE, KTORÉ DOPĹŇAJÚ A VYSVETĽUJÚ SÚVAHU A VÝKAZ ZISKOV A STRÁT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nemáme.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(2) Informácie o záväzkoch, a to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a) celkovej sume záväzkov so zostatkovou dobou splatnosti dlhšou ako päť rokov, </w:t>
      </w:r>
    </w:p>
    <w:p>
      <w:pPr>
        <w:pStyle w:val="style25"/>
      </w:pPr>
      <w:r>
        <w:rPr/>
        <w:t xml:space="preserve">b) celkovej sume zabezpečených záväzkov, opis a spôsoby zabezpečenia záväzkov. </w:t>
      </w:r>
    </w:p>
    <w:p>
      <w:pPr>
        <w:pStyle w:val="style25"/>
      </w:pPr>
      <w:r>
        <w:rPr/>
      </w:r>
    </w:p>
    <w:tbl>
      <w:tblPr>
        <w:jc w:val="left"/>
        <w:tblInd w:type="dxa" w:w="-2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88"/>
          <w:bottom w:type="dxa" w:w="0"/>
          <w:right w:type="dxa" w:w="108"/>
        </w:tblCellMar>
      </w:tblPr>
      <w:tblGrid>
        <w:gridCol w:w="3187"/>
        <w:gridCol w:w="3187"/>
        <w:gridCol w:w="3188"/>
      </w:tblGrid>
      <w:tr>
        <w:trPr>
          <w:trHeight w:hRule="atLeast" w:val="187"/>
          <w:cantSplit w:val="false"/>
        </w:trPr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Názov položky </w:t>
            </w:r>
          </w:p>
        </w:tc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Bežné účtovné obdobie </w:t>
            </w:r>
          </w:p>
        </w:tc>
        <w:tc>
          <w:tcPr>
            <w:tcW w:type="dxa" w:w="31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Bezprostredne predchádzajúce účtovné obdobie </w:t>
            </w:r>
          </w:p>
        </w:tc>
      </w:tr>
      <w:tr>
        <w:trPr>
          <w:trHeight w:hRule="atLeast" w:val="84"/>
          <w:cantSplit w:val="false"/>
        </w:trPr>
        <w:tc>
          <w:tcPr>
            <w:tcW w:type="dxa" w:w="956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Záväzky po lehote splatnosti </w:t>
            </w:r>
          </w:p>
        </w:tc>
      </w:tr>
      <w:tr>
        <w:trPr>
          <w:trHeight w:hRule="atLeast" w:val="187"/>
          <w:cantSplit w:val="false"/>
        </w:trPr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Záväzky do lehoty splatnosti so zostatkovou dobou splatnosti do jedného roka </w:t>
            </w:r>
          </w:p>
        </w:tc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400,90</w:t>
            </w:r>
          </w:p>
        </w:tc>
        <w:tc>
          <w:tcPr>
            <w:tcW w:type="dxa" w:w="31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  <w:t>956,80</w:t>
            </w:r>
          </w:p>
        </w:tc>
      </w:tr>
      <w:tr>
        <w:trPr>
          <w:trHeight w:hRule="atLeast" w:val="84"/>
          <w:cantSplit w:val="false"/>
        </w:trPr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Krátkodobé záväzky spolu </w:t>
            </w:r>
          </w:p>
        </w:tc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                </w:t>
            </w:r>
            <w:r>
              <w:rPr>
                <w:b/>
                <w:bCs/>
              </w:rPr>
              <w:t>400,90</w:t>
            </w:r>
          </w:p>
        </w:tc>
        <w:tc>
          <w:tcPr>
            <w:tcW w:type="dxa" w:w="31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              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956,80</w:t>
            </w:r>
          </w:p>
        </w:tc>
      </w:tr>
      <w:tr>
        <w:trPr>
          <w:trHeight w:hRule="atLeast" w:val="187"/>
          <w:cantSplit w:val="false"/>
        </w:trPr>
        <w:tc>
          <w:tcPr>
            <w:tcW w:type="dxa" w:w="956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>Záväzky so zostatkovou dobou splatnosti od jedného</w:t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 </w:t>
            </w:r>
            <w:r>
              <w:rPr/>
              <w:t xml:space="preserve">do piatich rokov vrátane                       </w:t>
            </w:r>
            <w:r>
              <w:rPr/>
              <w:t>580,50</w:t>
            </w:r>
            <w:r>
              <w:rPr/>
              <w:t xml:space="preserve">                                      </w:t>
            </w:r>
            <w:r>
              <w:rPr/>
              <w:t>871,50</w:t>
            </w:r>
            <w:r>
              <w:rPr/>
              <w:t xml:space="preserve">    </w:t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trHeight w:hRule="atLeast" w:val="84"/>
          <w:cantSplit w:val="false"/>
        </w:trPr>
        <w:tc>
          <w:tcPr>
            <w:tcW w:type="dxa" w:w="956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>Záväzky so zostatkovou dobou                 0</w:t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  <w:t xml:space="preserve"> </w:t>
            </w:r>
            <w:r>
              <w:rPr/>
              <w:t xml:space="preserve">splatnosti viac ako päť rokov </w:t>
            </w:r>
          </w:p>
        </w:tc>
      </w:tr>
      <w:tr>
        <w:trPr>
          <w:trHeight w:hRule="atLeast" w:val="344"/>
          <w:cantSplit w:val="false"/>
        </w:trPr>
        <w:tc>
          <w:tcPr>
            <w:tcW w:type="dxa" w:w="956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 xml:space="preserve">Dlhodobé záväzky spolu                    </w:t>
            </w:r>
            <w:r>
              <w:rPr>
                <w:b/>
                <w:bCs/>
              </w:rPr>
              <w:t>580,50</w:t>
            </w:r>
            <w:r>
              <w:rPr>
                <w:b/>
                <w:bCs/>
              </w:rPr>
              <w:t xml:space="preserve">                                      </w:t>
            </w:r>
            <w:r>
              <w:rPr>
                <w:b/>
                <w:bCs/>
              </w:rPr>
              <w:t>871,50</w:t>
            </w:r>
          </w:p>
        </w:tc>
      </w:tr>
      <w:tr>
        <w:trPr>
          <w:trHeight w:hRule="atLeast" w:val="84"/>
          <w:cantSplit w:val="false"/>
        </w:trPr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>
                <w:b/>
                <w:bCs/>
              </w:rPr>
              <w:t>Krátkodobé a dlhodobé záväzky spolu</w:t>
            </w:r>
          </w:p>
        </w:tc>
        <w:tc>
          <w:tcPr>
            <w:tcW w:type="dxa" w:w="31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ind w:hanging="0" w:left="0" w:right="0"/>
              <w:contextualSpacing w:val="false"/>
              <w:jc w:val="center"/>
            </w:pPr>
            <w:r>
              <w:rPr>
                <w:b/>
                <w:bCs/>
              </w:rPr>
              <w:t>981,40</w:t>
            </w:r>
          </w:p>
        </w:tc>
        <w:tc>
          <w:tcPr>
            <w:tcW w:type="dxa" w:w="31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88"/>
            </w:tcMar>
            <w:vAlign w:val="center"/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</w:rPr>
              <w:t>1828,30</w:t>
            </w:r>
          </w:p>
        </w:tc>
      </w:tr>
    </w:tbl>
    <w:p>
      <w:pPr>
        <w:pStyle w:val="style0"/>
      </w:pPr>
      <w:r>
        <w:rPr/>
      </w:r>
    </w:p>
    <w:p>
      <w:pPr>
        <w:pStyle w:val="style0"/>
        <w:spacing w:after="0" w:before="0" w:line="100" w:lineRule="atLeast"/>
        <w:contextualSpacing w:val="false"/>
      </w:pPr>
      <w:r>
        <w:rPr>
          <w:rFonts w:ascii="Arial" w:cs="Arial" w:hAnsi="Arial"/>
          <w:sz w:val="24"/>
          <w:szCs w:val="24"/>
        </w:rPr>
        <w:t xml:space="preserve">(3) Informácie o vlastných akciách, a to najmä </w:t>
      </w:r>
    </w:p>
    <w:p>
      <w:pPr>
        <w:pStyle w:val="style0"/>
        <w:spacing w:after="0" w:before="0" w:line="100" w:lineRule="atLeast"/>
        <w:contextualSpacing w:val="false"/>
      </w:pPr>
      <w:r>
        <w:rPr>
          <w:rFonts w:ascii="Arial" w:cs="Arial" w:hAnsi="Arial"/>
          <w:sz w:val="24"/>
          <w:szCs w:val="24"/>
        </w:rPr>
        <w:t>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hodnota, za ktorú sa vlastné akcie nadobudli a ktoré účtovná jednotka má v držbe k poslednému dňu účtovného obdobia; uvádza sa aj ich percentuálny podiel na upísanom základnom imaní: nemá</w:t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p>
      <w:pPr>
        <w:pStyle w:val="style25"/>
      </w:pPr>
      <w:r>
        <w:rPr/>
        <w:t xml:space="preserve">(4) Informácie o orgánoch účtovnej jednotky, a to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a) výške jednotlivých druhov záruk alebo iných zabezpečení poskytnutých pre členov štatutárneho orgánu, dozorného orgánu a iného orgánu účtovnej jednotky, a to v členení za jednotlivé orgány - neboli poskytnuté </w:t>
      </w:r>
    </w:p>
    <w:p>
      <w:pPr>
        <w:pStyle w:val="style0"/>
      </w:pPr>
      <w:r>
        <w:rPr>
          <w:rFonts w:ascii="Arial" w:cs="Arial" w:hAnsi="Arial"/>
          <w:sz w:val="24"/>
          <w:szCs w:val="24"/>
        </w:rPr>
        <w:t>b) pôžičkách poskytnutých členom štatutárneho orgánu, dozorného orgánu a iného orgánu účtovnej jednotky - n</w:t>
      </w:r>
      <w:bookmarkStart w:id="0" w:name="_GoBack"/>
      <w:bookmarkEnd w:id="0"/>
      <w:r>
        <w:rPr>
          <w:rFonts w:ascii="Arial" w:cs="Arial" w:hAnsi="Arial"/>
          <w:sz w:val="24"/>
          <w:szCs w:val="24"/>
        </w:rPr>
        <w:t xml:space="preserve">eboli poskytnuté. </w:t>
      </w:r>
    </w:p>
    <w:p>
      <w:pPr>
        <w:pStyle w:val="style25"/>
      </w:pPr>
      <w:r>
        <w:rPr/>
        <w:t xml:space="preserve">(5) Informácie o povinnostiach účtovnej jednotky, a to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nemáme </w:t>
      </w:r>
    </w:p>
    <w:p>
      <w:pPr>
        <w:pStyle w:val="style25"/>
      </w:pPr>
      <w:r>
        <w:rPr/>
        <w:t xml:space="preserve">b) celkovej sume významných podmienených záväzkov, ktorými sa rozumie </w:t>
      </w:r>
    </w:p>
    <w:p>
      <w:pPr>
        <w:pStyle w:val="style25"/>
      </w:pPr>
      <w:r>
        <w:rPr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style25"/>
      </w:pPr>
      <w:r>
        <w:rPr/>
        <w:t xml:space="preserve">2. existujúca povinnosť, ktorá vznikla ako dôsledok minulej udalosti, ale ktorá sa nevykazuje v súvahe, pretože </w:t>
      </w:r>
    </w:p>
    <w:p>
      <w:pPr>
        <w:pStyle w:val="style25"/>
      </w:pPr>
      <w:r>
        <w:rPr/>
        <w:t xml:space="preserve">2a. nie je pravdepodobné, že na splnenie tejto povinnosti bude potrebný úbytok ekonomických úžitkov, alebo </w:t>
      </w:r>
    </w:p>
    <w:p>
      <w:pPr>
        <w:pStyle w:val="style25"/>
      </w:pPr>
      <w:r>
        <w:rPr/>
        <w:t xml:space="preserve">2b. výška tejto povinnosti sa nedá spoľahlivo oceniť, </w:t>
      </w:r>
    </w:p>
    <w:p>
      <w:pPr>
        <w:pStyle w:val="style25"/>
      </w:pPr>
      <w:r>
        <w:rPr/>
        <w:t xml:space="preserve">-nemáme. </w:t>
      </w:r>
    </w:p>
    <w:p>
      <w:pPr>
        <w:pStyle w:val="style25"/>
      </w:pPr>
      <w:r>
        <w:rPr/>
        <w:t xml:space="preserve">c) opise významných finančných povinností a významných podmienených záväzkov, </w:t>
      </w:r>
    </w:p>
    <w:p>
      <w:pPr>
        <w:pStyle w:val="style0"/>
        <w:spacing w:after="0" w:before="0"/>
        <w:contextualSpacing w:val="false"/>
      </w:pPr>
      <w:r>
        <w:rPr>
          <w:rFonts w:ascii="Arial" w:cs="Arial" w:hAnsi="Arial"/>
          <w:sz w:val="24"/>
          <w:szCs w:val="24"/>
        </w:rPr>
        <w:t xml:space="preserve">-nemáme. </w:t>
      </w:r>
    </w:p>
    <w:p>
      <w:pPr>
        <w:pStyle w:val="style0"/>
        <w:spacing w:after="0" w:before="0"/>
        <w:contextualSpacing w:val="false"/>
      </w:pPr>
      <w:r>
        <w:rPr>
          <w:rFonts w:ascii="Arial" w:cs="Arial" w:hAnsi="Arial"/>
          <w:sz w:val="24"/>
          <w:szCs w:val="24"/>
        </w:rPr>
        <w:t xml:space="preserve">d) opise významných povinností účtovnej jednotky vyplývajúcich z dôchodkových programov pre zamestnancov </w:t>
      </w:r>
    </w:p>
    <w:p>
      <w:pPr>
        <w:pStyle w:val="style0"/>
      </w:pPr>
      <w:r>
        <w:rPr>
          <w:rFonts w:ascii="Arial" w:cs="Arial" w:hAnsi="Arial"/>
          <w:sz w:val="24"/>
          <w:szCs w:val="24"/>
        </w:rPr>
        <w:t>-nemáme</w:t>
      </w:r>
    </w:p>
    <w:p>
      <w:pPr>
        <w:pStyle w:val="style0"/>
      </w:pPr>
      <w:r>
        <w:rPr>
          <w:rFonts w:ascii="Arial" w:cs="Arial" w:hAnsi="Arial"/>
          <w:sz w:val="24"/>
          <w:szCs w:val="24"/>
        </w:rPr>
        <w:t>(6) Informácie o udelení výlučného práva alebo osobitného práva, ktorým sa udelilo právo poskytovať služby vo verejnom záujme, pričom sa uvádza náhrada za túto činnosť v akejkoľvek forme, a ak sa zároveň vykonávajú aj iné činnosti, uvádzajú sa aj informácie o všetkých formách prijatej náhrady, účtovných zásadách použitých pri prideľovaní nákladov a výnosov, všetkých druhoch činnosti účtovnej jednotky: neposkytuje také služby.</w:t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p>
      <w:pPr>
        <w:pStyle w:val="style0"/>
        <w:spacing w:after="0" w:before="0" w:line="100" w:lineRule="atLeast"/>
        <w:contextualSpacing w:val="false"/>
      </w:pPr>
      <w:r>
        <w:rPr>
          <w:rFonts w:ascii="Arial" w:cs="Arial" w:hAnsi="Arial"/>
          <w:sz w:val="24"/>
          <w:szCs w:val="24"/>
        </w:rPr>
        <w:t xml:space="preserve">V Fričovce, </w:t>
      </w:r>
      <w:r>
        <w:rPr>
          <w:rFonts w:ascii="Arial" w:cs="Arial" w:hAnsi="Arial"/>
          <w:sz w:val="24"/>
          <w:szCs w:val="24"/>
        </w:rPr>
        <w:t>24</w:t>
      </w:r>
      <w:r>
        <w:rPr>
          <w:rFonts w:ascii="Arial" w:cs="Arial" w:hAnsi="Arial"/>
          <w:sz w:val="24"/>
          <w:szCs w:val="24"/>
        </w:rPr>
        <w:t>.4.2022</w:t>
      </w:r>
      <w:r>
        <w:rPr>
          <w:rFonts w:ascii="Arial" w:cs="Arial" w:hAnsi="Arial"/>
          <w:sz w:val="24"/>
          <w:szCs w:val="24"/>
        </w:rPr>
        <w:t>4</w:t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sectPr>
      <w:headerReference r:id="rId2" w:type="default"/>
      <w:footerReference r:id="rId3" w:type="default"/>
      <w:type w:val="nextPage"/>
      <w:pgSz w:h="16838" w:w="11906"/>
      <w:pgMar w:bottom="1417" w:footer="708" w:gutter="0" w:header="708" w:left="1417" w:right="991" w:top="1417"/>
      <w:pgNumType w:fmt="decimal"/>
      <w:formProt w:val="false"/>
      <w:textDirection w:val="lrTb"/>
      <w:docGrid w:charSpace="2048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4"/>
      <w:jc w:val="right"/>
    </w:pP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  <w:p>
    <w:pPr>
      <w:pStyle w:val="style24"/>
      <w:jc w:val="center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3"/>
      <w:tabs>
        <w:tab w:leader="none" w:pos="4536" w:val="left"/>
        <w:tab w:leader="none" w:pos="6946" w:val="left"/>
        <w:tab w:leader="none" w:pos="9072" w:val="right"/>
      </w:tabs>
    </w:pPr>
    <w:r>
      <w:rPr>
        <w:rFonts w:ascii="Arial" w:cs="Arial" w:hAnsi="Arial"/>
        <w:sz w:val="24"/>
      </w:rPr>
      <w:t xml:space="preserve">Poznámky Úč MÚJ 3 – 01                       </w:t>
      <w:tab/>
      <w:t>IČO:  46476181                   DIČ: 2820003780</w:t>
    </w:r>
  </w:p>
  <w:p>
    <w:pPr>
      <w:pStyle w:val="style0"/>
      <w:widowControl/>
      <w:suppressAutoHyphens w:val="true"/>
      <w:spacing w:after="200" w:before="0" w:line="276" w:lineRule="auto"/>
      <w:contextualSpacing w:val="false"/>
    </w:pPr>
    <w:r>
      <w:rPr/>
    </w:r>
  </w:p>
</w:hdr>
</file>

<file path=word/settings.xml><?xml version="1.0" encoding="utf-8"?>
<w:settings xmlns:w="http://schemas.openxmlformats.org/wordprocessingml/2006/main">
  <w:zoom w:percent="8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Calibri" w:cs="Calibri" w:eastAsia="SimSun" w:hAnsi="Calibri"/>
      <w:color w:val="00000A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Header Char"/>
    <w:basedOn w:val="style15"/>
    <w:next w:val="style16"/>
    <w:rPr/>
  </w:style>
  <w:style w:styleId="style17" w:type="character">
    <w:name w:val="Footer Char"/>
    <w:basedOn w:val="style15"/>
    <w:next w:val="style17"/>
    <w:rPr/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e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Zoznam"/>
    <w:basedOn w:val="style19"/>
    <w:next w:val="style20"/>
    <w:pPr/>
    <w:rPr>
      <w:rFonts w:cs="Mangal"/>
    </w:rPr>
  </w:style>
  <w:style w:styleId="style21" w:type="paragraph">
    <w:name w:val="Popis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Index"/>
    <w:basedOn w:val="style0"/>
    <w:next w:val="style22"/>
    <w:pPr>
      <w:suppressLineNumbers/>
    </w:pPr>
    <w:rPr>
      <w:rFonts w:cs="Mangal"/>
    </w:rPr>
  </w:style>
  <w:style w:styleId="style23" w:type="paragraph">
    <w:name w:val="Hlavička"/>
    <w:basedOn w:val="style0"/>
    <w:next w:val="style23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4" w:type="paragraph">
    <w:name w:val="Päta"/>
    <w:basedOn w:val="style0"/>
    <w:next w:val="style24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5" w:type="paragraph">
    <w:name w:val="Default"/>
    <w:next w:val="style25"/>
    <w:pPr>
      <w:widowControl/>
      <w:suppressAutoHyphens w:val="true"/>
      <w:spacing w:after="0" w:before="0" w:line="100" w:lineRule="atLeast"/>
      <w:contextualSpacing w:val="false"/>
    </w:pPr>
    <w:rPr>
      <w:rFonts w:ascii="Arial" w:cs="Arial" w:eastAsia="SimSun" w:hAnsi="Arial"/>
      <w:color w:val="000000"/>
      <w:sz w:val="24"/>
      <w:szCs w:val="24"/>
      <w:lang w:bidi="ar-SA" w:eastAsia="en-US" w:val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2019-06-21T09:19:00.00Z</dcterms:created>
  <dc:creator>Zuzigi</dc:creator>
  <cp:lastModifiedBy>Zuzigi</cp:lastModifiedBy>
  <cp:lastPrinted>2022-04-19T11:13:28.40Z</cp:lastPrinted>
  <dcterms:modified xsi:type="dcterms:W3CDTF">2022-03-15T12:09:00.00Z</dcterms:modified>
  <cp:revision>18</cp:revision>
</cp:coreProperties>
</file>