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01C97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2695A499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5D84FF5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68043B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1B1C76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415EB75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C3B75A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01EAE6B" w14:textId="77777777" w:rsidR="00F21F19" w:rsidRPr="00F302D2" w:rsidRDefault="00F21F19" w:rsidP="00F302D2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F302D2" w:rsidRPr="00F302D2">
              <w:rPr>
                <w:rFonts w:ascii="Arial" w:hAnsi="Arial" w:cs="Arial"/>
                <w:b/>
                <w:sz w:val="20"/>
                <w:szCs w:val="22"/>
              </w:rPr>
              <w:t>Weebest</w:t>
            </w:r>
            <w:proofErr w:type="spellEnd"/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proofErr w:type="spellStart"/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>s.r.o</w:t>
            </w:r>
            <w:proofErr w:type="spellEnd"/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</w:tr>
      <w:tr w:rsidR="00F21F19" w:rsidRPr="0045237F" w14:paraId="4BDEACAF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7F69DE7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2B147BD0" w14:textId="77777777" w:rsidR="00F21F19" w:rsidRPr="00F302D2" w:rsidRDefault="00F302D2" w:rsidP="00F302D2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F302D2">
              <w:rPr>
                <w:rFonts w:ascii="Arial" w:hAnsi="Arial" w:cs="Arial"/>
                <w:b/>
                <w:sz w:val="20"/>
                <w:szCs w:val="22"/>
              </w:rPr>
              <w:t>Dolná štvrť 365/8</w:t>
            </w:r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>, 90</w:t>
            </w:r>
            <w:r w:rsidRPr="00F302D2">
              <w:rPr>
                <w:rFonts w:ascii="Arial" w:hAnsi="Arial" w:cs="Arial"/>
                <w:b/>
                <w:sz w:val="20"/>
                <w:szCs w:val="22"/>
              </w:rPr>
              <w:t>7</w:t>
            </w:r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F302D2">
              <w:rPr>
                <w:rFonts w:ascii="Arial" w:hAnsi="Arial" w:cs="Arial"/>
                <w:b/>
                <w:sz w:val="20"/>
                <w:szCs w:val="22"/>
              </w:rPr>
              <w:t>01</w:t>
            </w:r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F302D2">
              <w:rPr>
                <w:rFonts w:ascii="Arial" w:hAnsi="Arial" w:cs="Arial"/>
                <w:b/>
                <w:sz w:val="20"/>
                <w:szCs w:val="22"/>
              </w:rPr>
              <w:t>Myjava</w:t>
            </w:r>
          </w:p>
        </w:tc>
      </w:tr>
    </w:tbl>
    <w:p w14:paraId="38939269" w14:textId="77777777" w:rsidR="00F21F19" w:rsidRDefault="00F21F19" w:rsidP="00F21F19">
      <w:pPr>
        <w:jc w:val="both"/>
        <w:rPr>
          <w:rFonts w:ascii="Arial" w:hAnsi="Arial" w:cs="Arial"/>
          <w:sz w:val="20"/>
        </w:rPr>
      </w:pPr>
    </w:p>
    <w:p w14:paraId="1064A203" w14:textId="77777777"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DIČ : </w:t>
      </w:r>
      <w:r w:rsidR="00F302D2" w:rsidRPr="00F302D2">
        <w:rPr>
          <w:rFonts w:ascii="Arial" w:hAnsi="Arial" w:cs="Arial"/>
          <w:b/>
          <w:sz w:val="20"/>
        </w:rPr>
        <w:t>2121138140</w:t>
      </w:r>
    </w:p>
    <w:p w14:paraId="7FA7F4B9" w14:textId="77777777"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IČO : </w:t>
      </w:r>
      <w:r w:rsidR="00F302D2" w:rsidRPr="00F302D2">
        <w:rPr>
          <w:rFonts w:ascii="Arial" w:hAnsi="Arial" w:cs="Arial"/>
          <w:b/>
          <w:sz w:val="20"/>
        </w:rPr>
        <w:t>52773515</w:t>
      </w:r>
    </w:p>
    <w:p w14:paraId="696460C7" w14:textId="7777777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4AE1B0FF" w14:textId="77777777" w:rsidR="00C71502" w:rsidRDefault="00C7150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 xml:space="preserve">Predmet činnosti : </w:t>
      </w:r>
      <w:r w:rsidR="00F302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Poskytovanie služieb rýchleho občerstvenia v spojení s predajom na priamu konzumáciu</w:t>
      </w:r>
    </w:p>
    <w:p w14:paraId="4F500665" w14:textId="77777777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4C122FC6" w14:textId="77777777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Deň zápisu : 21.11.2019</w:t>
      </w:r>
    </w:p>
    <w:p w14:paraId="70BFAC06" w14:textId="77777777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4"/>
        <w:gridCol w:w="3093"/>
      </w:tblGrid>
      <w:tr w:rsidR="00F302D2" w14:paraId="2F43836E" w14:textId="77777777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374E01" w14:textId="77777777" w:rsidR="00F302D2" w:rsidRDefault="00F302D2"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konateľ</w:t>
            </w:r>
          </w:p>
        </w:tc>
        <w:tc>
          <w:tcPr>
            <w:tcW w:w="1650" w:type="pct"/>
            <w:shd w:val="clear" w:color="auto" w:fill="FFFFFF"/>
            <w:hideMark/>
          </w:tcPr>
          <w:p w14:paraId="58B83E86" w14:textId="77777777" w:rsidR="00F302D2" w:rsidRDefault="00F302D2"/>
        </w:tc>
      </w:tr>
    </w:tbl>
    <w:p w14:paraId="4C15EA41" w14:textId="77777777" w:rsidR="00F302D2" w:rsidRDefault="00F302D2" w:rsidP="00F302D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7"/>
      </w:tblGrid>
      <w:tr w:rsidR="00F302D2" w14:paraId="4B77C28C" w14:textId="77777777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C88A8A" w14:textId="77777777" w:rsidR="00F302D2" w:rsidRDefault="00000000">
            <w:hyperlink r:id="rId8" w:history="1">
              <w:r w:rsidR="00F302D2">
                <w:rPr>
                  <w:rStyle w:val="ra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Lukáš </w:t>
              </w:r>
              <w:proofErr w:type="spellStart"/>
              <w:r w:rsidR="00F302D2">
                <w:rPr>
                  <w:rStyle w:val="ra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Bednárik</w:t>
              </w:r>
              <w:proofErr w:type="spellEnd"/>
            </w:hyperlink>
            <w:r w:rsidR="00F302D2">
              <w:br/>
            </w:r>
            <w:r w:rsidR="00F302D2"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Dolná štvrť 365/8</w:t>
            </w:r>
            <w:r w:rsidR="00F302D2">
              <w:br/>
            </w:r>
            <w:r w:rsidR="00F302D2"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Myjava 907 01</w:t>
            </w:r>
          </w:p>
        </w:tc>
      </w:tr>
    </w:tbl>
    <w:p w14:paraId="4C6F5CC9" w14:textId="77777777" w:rsidR="00F302D2" w:rsidRDefault="00F302D2" w:rsidP="00F21F19">
      <w:pPr>
        <w:jc w:val="both"/>
        <w:rPr>
          <w:rFonts w:ascii="Arial" w:hAnsi="Arial" w:cs="Arial"/>
          <w:sz w:val="20"/>
        </w:rPr>
      </w:pPr>
    </w:p>
    <w:p w14:paraId="67476262" w14:textId="77777777" w:rsidR="00C71502" w:rsidRPr="0045237F" w:rsidRDefault="00C71502" w:rsidP="00F21F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p w14:paraId="389641DD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7698337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CE224A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25DBBD35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79F66734" w14:textId="7451C714" w:rsidR="004E2926" w:rsidRPr="0045237F" w:rsidRDefault="00C570A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0AA446AD" w14:textId="11F32B9B" w:rsidR="007854C2" w:rsidRDefault="00C570A8" w:rsidP="00C570A8">
      <w:pPr>
        <w:tabs>
          <w:tab w:val="left" w:pos="851"/>
        </w:tabs>
        <w:ind w:left="1134"/>
        <w:rPr>
          <w:rFonts w:ascii="Arial" w:hAnsi="Arial" w:cs="Arial"/>
          <w:sz w:val="20"/>
        </w:rPr>
      </w:pPr>
      <w:r w:rsidRPr="00C570A8">
        <w:rPr>
          <w:rFonts w:ascii="Arial" w:hAnsi="Arial" w:cs="Arial"/>
          <w:b/>
          <w:bCs/>
          <w:sz w:val="20"/>
        </w:rPr>
        <w:t>Spoločnosť mala jedného zamestnanca v mesiacoch 1-3/2023</w:t>
      </w:r>
      <w:r>
        <w:rPr>
          <w:rFonts w:ascii="Arial" w:hAnsi="Arial" w:cs="Arial"/>
          <w:sz w:val="20"/>
        </w:rPr>
        <w:t>.</w:t>
      </w:r>
    </w:p>
    <w:p w14:paraId="5B381D0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BDBE7B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1259D" w14:textId="77777777" w:rsidR="00C71502" w:rsidRPr="0045237F" w:rsidRDefault="00C7150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24CC2F7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75E049C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87B6582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0F1FCC6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45EAF26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E7B1BE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3E992E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2B68888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FA09B9A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F7E46C1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A6D0B7D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F721EA4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795D7C90" w14:textId="77777777" w:rsidTr="00E74F38">
        <w:trPr>
          <w:trHeight w:val="283"/>
        </w:trPr>
        <w:tc>
          <w:tcPr>
            <w:tcW w:w="567" w:type="dxa"/>
          </w:tcPr>
          <w:p w14:paraId="580E719D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D296D9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842203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2808A3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A7E12B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DBA4F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44548BA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0DE692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1A0747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3A08A1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ED974F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F75AE8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0B4457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CA020C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76A05C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796D2E8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9D702E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61663CF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33FFDD3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5E3B62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896B23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8404D5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BCFF52B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73FD6E4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945000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C7B825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4DEC43F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1EE90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7DDAAB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4BE5B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BF9429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47D449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C40232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CD2CF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B42C9A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9079D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189EE049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2E0C3F6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20F0652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5723B4D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A59C5B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1023DDD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8197325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6E8E60D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FCE4AD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3E4A9F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3631AE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C0BB5D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84B82C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218E10E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593FD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8F4315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B16B79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22AF06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45505F2" w14:textId="2E18A777" w:rsidR="00E74F38" w:rsidRPr="00C570A8" w:rsidRDefault="00C570A8" w:rsidP="00AC791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570A8">
        <w:rPr>
          <w:rFonts w:ascii="Arial" w:hAnsi="Arial" w:cs="Arial"/>
          <w:b/>
          <w:bCs/>
          <w:sz w:val="20"/>
          <w:szCs w:val="20"/>
        </w:rPr>
        <w:t>Spoločnosť nemá majetok, ktorý sa odpisuje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6CD1D1A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865E5F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83401F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3CDE7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02E49E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AD4F263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6639BE7" w14:textId="77777777" w:rsidR="00B25003" w:rsidRPr="00E52FFE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Organizačná štruktúra spoločnosti</w:t>
      </w:r>
    </w:p>
    <w:p w14:paraId="2660C1E3" w14:textId="77777777" w:rsidR="00E52FFE" w:rsidRPr="005E678B" w:rsidRDefault="00C71502" w:rsidP="00E52FFE">
      <w:pPr>
        <w:pStyle w:val="Odsekzoznamu"/>
        <w:spacing w:after="200" w:line="276" w:lineRule="auto"/>
        <w:contextualSpacing/>
        <w:rPr>
          <w:u w:val="single"/>
        </w:rPr>
      </w:pPr>
      <w:proofErr w:type="spellStart"/>
      <w:r>
        <w:rPr>
          <w:rFonts w:ascii="Courier New" w:hAnsi="Courier New" w:cs="Courier New"/>
          <w:sz w:val="23"/>
          <w:szCs w:val="23"/>
          <w:lang w:val="sk-SK"/>
        </w:rPr>
        <w:t>Úč</w:t>
      </w:r>
      <w:r w:rsidR="00E52FFE">
        <w:rPr>
          <w:rFonts w:ascii="Courier New" w:hAnsi="Courier New" w:cs="Courier New"/>
          <w:sz w:val="23"/>
          <w:szCs w:val="23"/>
        </w:rPr>
        <w:t>tovn</w:t>
      </w:r>
      <w:r>
        <w:rPr>
          <w:rFonts w:ascii="Courier New" w:hAnsi="Courier New" w:cs="Courier New"/>
          <w:sz w:val="23"/>
          <w:szCs w:val="23"/>
          <w:lang w:val="sk-SK"/>
        </w:rPr>
        <w:t>á</w:t>
      </w:r>
      <w:proofErr w:type="spellEnd"/>
      <w:r w:rsidR="00E52FFE">
        <w:rPr>
          <w:rFonts w:ascii="Courier New" w:hAnsi="Courier New" w:cs="Courier New"/>
          <w:sz w:val="23"/>
          <w:szCs w:val="23"/>
        </w:rPr>
        <w:t xml:space="preserve"> jednotka nie je </w:t>
      </w:r>
      <w:proofErr w:type="spellStart"/>
      <w:r w:rsidR="00E52FFE">
        <w:rPr>
          <w:rFonts w:ascii="Courier New" w:hAnsi="Courier New" w:cs="Courier New"/>
          <w:sz w:val="23"/>
          <w:szCs w:val="23"/>
        </w:rPr>
        <w:t>s</w:t>
      </w:r>
      <w:r>
        <w:rPr>
          <w:rFonts w:ascii="Courier New" w:hAnsi="Courier New" w:cs="Courier New"/>
          <w:sz w:val="23"/>
          <w:szCs w:val="23"/>
          <w:lang w:val="sk-SK"/>
        </w:rPr>
        <w:t>úč</w:t>
      </w:r>
      <w:r w:rsidR="00E52FFE">
        <w:rPr>
          <w:rFonts w:ascii="Courier New" w:hAnsi="Courier New" w:cs="Courier New"/>
          <w:sz w:val="23"/>
          <w:szCs w:val="23"/>
        </w:rPr>
        <w:t>as</w:t>
      </w:r>
      <w:r>
        <w:rPr>
          <w:rFonts w:ascii="Courier New" w:hAnsi="Courier New" w:cs="Courier New"/>
          <w:sz w:val="23"/>
          <w:szCs w:val="23"/>
          <w:lang w:val="sk-SK"/>
        </w:rPr>
        <w:t>ť</w:t>
      </w:r>
      <w:r w:rsidR="00E52FFE">
        <w:rPr>
          <w:rFonts w:ascii="Courier New" w:hAnsi="Courier New" w:cs="Courier New"/>
          <w:sz w:val="23"/>
          <w:szCs w:val="23"/>
        </w:rPr>
        <w:t>ou</w:t>
      </w:r>
      <w:proofErr w:type="spellEnd"/>
      <w:r w:rsidR="00E52FFE">
        <w:rPr>
          <w:rFonts w:ascii="Courier New" w:hAnsi="Courier New" w:cs="Courier New"/>
          <w:sz w:val="23"/>
          <w:szCs w:val="23"/>
        </w:rPr>
        <w:t xml:space="preserve"> </w:t>
      </w:r>
      <w:proofErr w:type="spellStart"/>
      <w:r w:rsidR="00E52FFE">
        <w:rPr>
          <w:rFonts w:ascii="Courier New" w:hAnsi="Courier New" w:cs="Courier New"/>
          <w:sz w:val="23"/>
          <w:szCs w:val="23"/>
        </w:rPr>
        <w:t>konsolidovaneho</w:t>
      </w:r>
      <w:proofErr w:type="spellEnd"/>
      <w:r w:rsidR="00E52FFE">
        <w:rPr>
          <w:rFonts w:ascii="Courier New" w:hAnsi="Courier New" w:cs="Courier New"/>
          <w:sz w:val="23"/>
          <w:szCs w:val="23"/>
        </w:rPr>
        <w:t xml:space="preserve"> celku a </w:t>
      </w:r>
      <w:proofErr w:type="spellStart"/>
      <w:r>
        <w:rPr>
          <w:rFonts w:ascii="Courier New" w:hAnsi="Courier New" w:cs="Courier New"/>
          <w:sz w:val="23"/>
          <w:szCs w:val="23"/>
          <w:lang w:val="sk-SK"/>
        </w:rPr>
        <w:t>úč</w:t>
      </w:r>
      <w:r w:rsidR="00E52FFE">
        <w:rPr>
          <w:rFonts w:ascii="Courier New" w:hAnsi="Courier New" w:cs="Courier New"/>
          <w:sz w:val="23"/>
          <w:szCs w:val="23"/>
        </w:rPr>
        <w:t>tovna</w:t>
      </w:r>
      <w:proofErr w:type="spellEnd"/>
      <w:r w:rsidR="00E52FFE">
        <w:rPr>
          <w:rFonts w:ascii="Courier New" w:hAnsi="Courier New" w:cs="Courier New"/>
          <w:sz w:val="23"/>
          <w:szCs w:val="23"/>
        </w:rPr>
        <w:t xml:space="preserve"> jednotka nie je</w:t>
      </w:r>
      <w:r>
        <w:rPr>
          <w:rFonts w:ascii="Courier New" w:hAnsi="Courier New" w:cs="Courier New"/>
          <w:sz w:val="23"/>
          <w:szCs w:val="23"/>
          <w:lang w:val="sk-SK"/>
        </w:rPr>
        <w:t xml:space="preserve"> </w:t>
      </w:r>
      <w:r w:rsidR="00E52FFE">
        <w:rPr>
          <w:rFonts w:ascii="Courier New" w:hAnsi="Courier New" w:cs="Courier New"/>
          <w:sz w:val="23"/>
          <w:szCs w:val="23"/>
        </w:rPr>
        <w:t xml:space="preserve">materskou </w:t>
      </w:r>
      <w:proofErr w:type="spellStart"/>
      <w:r>
        <w:rPr>
          <w:rFonts w:ascii="Courier New" w:hAnsi="Courier New" w:cs="Courier New"/>
          <w:sz w:val="23"/>
          <w:szCs w:val="23"/>
          <w:lang w:val="sk-SK"/>
        </w:rPr>
        <w:t>úč</w:t>
      </w:r>
      <w:r w:rsidR="00E52FFE">
        <w:rPr>
          <w:rFonts w:ascii="Courier New" w:hAnsi="Courier New" w:cs="Courier New"/>
          <w:sz w:val="23"/>
          <w:szCs w:val="23"/>
        </w:rPr>
        <w:t>tovnou</w:t>
      </w:r>
      <w:proofErr w:type="spellEnd"/>
      <w:r w:rsidR="00E52FFE">
        <w:rPr>
          <w:rFonts w:ascii="Courier New" w:hAnsi="Courier New" w:cs="Courier New"/>
          <w:sz w:val="23"/>
          <w:szCs w:val="23"/>
        </w:rPr>
        <w:t xml:space="preserve"> jednotkou .</w:t>
      </w:r>
    </w:p>
    <w:p w14:paraId="68FAFA8D" w14:textId="77777777" w:rsidR="00B25003" w:rsidRDefault="00B25003" w:rsidP="00B25003">
      <w:r>
        <w:t>Spoločnosť nie je členená na nákladové strediská. Účtovníctvo sa vedie za účtovnú jednotku ako celok.</w:t>
      </w:r>
    </w:p>
    <w:p w14:paraId="7F6AF24C" w14:textId="77777777" w:rsidR="00B25003" w:rsidRDefault="00B25003" w:rsidP="00B25003"/>
    <w:p w14:paraId="44DE5036" w14:textId="77777777" w:rsidR="00B25003" w:rsidRPr="005E678B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Spôsob vedenia účtovníctva, účtovná sústava</w:t>
      </w:r>
    </w:p>
    <w:p w14:paraId="1FB7F22C" w14:textId="77777777" w:rsidR="00B25003" w:rsidRDefault="00B25003" w:rsidP="00B25003">
      <w:r>
        <w:t>Spoločnosť vedie podvojné účtovníctvo v zmysle :</w:t>
      </w:r>
    </w:p>
    <w:p w14:paraId="6ED2518E" w14:textId="02DD44B8"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Zákona č. 431/2002 Z.</w:t>
      </w:r>
      <w:r w:rsidR="00C570A8">
        <w:t xml:space="preserve"> </w:t>
      </w:r>
      <w:r>
        <w:t>z. o účtovníctve v znení  neskorších predpisov</w:t>
      </w:r>
    </w:p>
    <w:p w14:paraId="158FB10B" w14:textId="77777777"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Opatrenia MF SR č. 23054/2002 – 92 , ktorým sa ustanovujú podrobnosti o postupoch účtovania  v znení neskorších doplnkov a opatrení.</w:t>
      </w:r>
    </w:p>
    <w:p w14:paraId="4487C199" w14:textId="77777777" w:rsidR="00B25003" w:rsidRDefault="00B25003" w:rsidP="00B25003">
      <w:pPr>
        <w:numPr>
          <w:ilvl w:val="0"/>
          <w:numId w:val="13"/>
        </w:numPr>
        <w:spacing w:before="120" w:line="240" w:lineRule="atLeast"/>
        <w:jc w:val="both"/>
      </w:pPr>
      <w:r>
        <w:t>O skutočnostiach, ktoré sú predmetom účtovníctva, účtuje do  obdobia, s ktorým tieto skutočnosti časovo a vecne súvisia. Ak nie je možné túto zásadu dodržať, môže účtovať i v účtovom  období, v ktorom zistila uvedené skutočnosti.</w:t>
      </w:r>
    </w:p>
    <w:p w14:paraId="271AD2D1" w14:textId="77777777" w:rsidR="00B25003" w:rsidRDefault="00B25003" w:rsidP="00B25003">
      <w:pPr>
        <w:spacing w:before="120" w:line="240" w:lineRule="atLeast"/>
        <w:jc w:val="both"/>
      </w:pPr>
      <w:r>
        <w:t>Účtovné zápisy sa zapisujú v účtovných knihách a preukazujú sa buď účtovnými dokladmi.</w:t>
      </w:r>
      <w:r w:rsidRPr="005A304B">
        <w:t xml:space="preserve"> </w:t>
      </w:r>
      <w:r>
        <w:t xml:space="preserve">Účtovná jednotka je povinná viesť účtovníctvo </w:t>
      </w:r>
      <w:r w:rsidRPr="005A304B">
        <w:t>úplne, preukázateľným spôsobom a správne</w:t>
      </w:r>
      <w:r>
        <w:t xml:space="preserve"> tak, aby verne zobrazovalo  skutočnosti, ktoré sú jeho predmetom.  Účtovníctvo je </w:t>
      </w:r>
      <w:r w:rsidRPr="005A304B">
        <w:t>úplné,</w:t>
      </w:r>
      <w:r w:rsidR="00C71502">
        <w:t xml:space="preserve"> </w:t>
      </w:r>
      <w:r w:rsidRPr="005A304B">
        <w:t>ak</w:t>
      </w:r>
      <w:r>
        <w:t xml:space="preserve"> sú zaúčtované všetky účtovné prípady, týkajúce sa účtovného  obdobia. Účtovníctvo </w:t>
      </w:r>
      <w:r w:rsidRPr="005A304B">
        <w:t xml:space="preserve">je preukazné, ak účtovná jednotka účtovné prípady a účtovné zápisy o nich </w:t>
      </w:r>
      <w:r>
        <w:t xml:space="preserve">doložila, alebo preukázala predpísaným spôsobom a inventarizovala majetok a záväzky.  Účtovníctvo je </w:t>
      </w:r>
      <w:r w:rsidRPr="005A304B">
        <w:t>správne,</w:t>
      </w:r>
      <w:r>
        <w:rPr>
          <w:u w:val="single"/>
        </w:rPr>
        <w:t xml:space="preserve"> </w:t>
      </w:r>
      <w:r>
        <w:t>ak účtovná jednotka s prihliadnutím na všetky okolnosti účtovného  prípadu neporušila povinnosti jej  uložené týmto zákonom. Účtovná jednotka označí účtovné doklady, účtovné knihy a  ostatné účtovné písomnosti svojim názvom a usporiada ich tak,  aby bolo zrejmé, že sú kompletné a ktorého účtovného obdobia sa  týkajú. Opravy  v účtovných dokladoch, v účtovných knihách a v ostatných  účtovných písomnostiach nemôžu viesť k neúplnosti,  nepreukázateľnosti a nesprávnosti účtovníctva.</w:t>
      </w:r>
    </w:p>
    <w:p w14:paraId="4B16534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2866D5E" w14:textId="77777777" w:rsidR="00B25003" w:rsidRDefault="00B25003" w:rsidP="00B25003">
      <w:pPr>
        <w:spacing w:before="120" w:line="240" w:lineRule="atLeast"/>
        <w:ind w:left="360"/>
        <w:jc w:val="both"/>
      </w:pPr>
      <w:r>
        <w:t>Účtovným obdobím je kalendárny rok.</w:t>
      </w:r>
    </w:p>
    <w:p w14:paraId="6A1E720F" w14:textId="77777777" w:rsidR="00B25003" w:rsidRPr="00BE468F" w:rsidRDefault="00B25003" w:rsidP="00B25003">
      <w:pPr>
        <w:ind w:left="360" w:hanging="360"/>
        <w:rPr>
          <w:rStyle w:val="Zvraznenie"/>
          <w:i w:val="0"/>
          <w:iCs w:val="0"/>
        </w:rPr>
      </w:pPr>
    </w:p>
    <w:p w14:paraId="2D0A8B28" w14:textId="77777777"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  <w:r>
        <w:rPr>
          <w:rFonts w:cs="Helvetica"/>
          <w:color w:val="353535"/>
          <w:shd w:val="clear" w:color="auto" w:fill="FFFFFF"/>
        </w:rPr>
        <w:t xml:space="preserve">      </w:t>
      </w:r>
      <w:r w:rsidRPr="00C5234E">
        <w:rPr>
          <w:rFonts w:cs="Helvetica"/>
          <w:color w:val="353535"/>
          <w:shd w:val="clear" w:color="auto" w:fill="FFFFFF"/>
        </w:rPr>
        <w:t>Účtovná jednotka vedie účtovníctvo a zostavuje účtovnú závierku v mene euro</w:t>
      </w:r>
    </w:p>
    <w:p w14:paraId="088951FB" w14:textId="77777777"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</w:p>
    <w:p w14:paraId="171AB27F" w14:textId="77777777" w:rsidR="00B25003" w:rsidRDefault="00B25003" w:rsidP="00B25003">
      <w:pPr>
        <w:ind w:left="284"/>
        <w:jc w:val="both"/>
      </w:pPr>
      <w:r>
        <w:lastRenderedPageBreak/>
        <w:t xml:space="preserve">Spoločnosť je </w:t>
      </w:r>
      <w:proofErr w:type="spellStart"/>
      <w:r>
        <w:t>mikro</w:t>
      </w:r>
      <w:proofErr w:type="spellEnd"/>
      <w:r>
        <w:t xml:space="preserve"> účtovná jednotka. V zmysle zákona o účtovníctve spoločnosť časovo nerozlišuje nevýznamné a stále sa opakujúce účtovné prípady. </w:t>
      </w:r>
    </w:p>
    <w:p w14:paraId="763E8155" w14:textId="77777777" w:rsidR="00E52FFE" w:rsidRDefault="00E52FFE" w:rsidP="00B25003">
      <w:pPr>
        <w:ind w:left="284"/>
        <w:jc w:val="both"/>
      </w:pPr>
    </w:p>
    <w:p w14:paraId="56F499DB" w14:textId="77777777"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stanovuje v</w:t>
      </w:r>
      <w:r>
        <w:rPr>
          <w:sz w:val="23"/>
          <w:szCs w:val="23"/>
        </w:rPr>
        <w:t>ýš</w:t>
      </w:r>
      <w:r w:rsidRPr="00E52FFE">
        <w:rPr>
          <w:sz w:val="23"/>
          <w:szCs w:val="23"/>
        </w:rPr>
        <w:t>ku opravnej polo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ky aj na z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 xml:space="preserve">klade vekovej </w:t>
      </w:r>
      <w:r>
        <w:rPr>
          <w:sz w:val="23"/>
          <w:szCs w:val="23"/>
        </w:rPr>
        <w:t>š</w:t>
      </w:r>
      <w:r w:rsidRPr="00E52FFE">
        <w:rPr>
          <w:sz w:val="23"/>
          <w:szCs w:val="23"/>
        </w:rPr>
        <w:t>trukt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ry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poh</w:t>
      </w:r>
      <w:r>
        <w:rPr>
          <w:sz w:val="23"/>
          <w:szCs w:val="23"/>
        </w:rPr>
        <w:t>ľa</w:t>
      </w:r>
      <w:r w:rsidRPr="00E52FFE">
        <w:rPr>
          <w:sz w:val="23"/>
          <w:szCs w:val="23"/>
        </w:rPr>
        <w:t>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vok. 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realizuje odpis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vky, ak sa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</w:t>
      </w:r>
      <w:r>
        <w:rPr>
          <w:sz w:val="23"/>
          <w:szCs w:val="23"/>
        </w:rPr>
        <w:t>a</w:t>
      </w:r>
      <w:r w:rsidRPr="00E52FFE">
        <w:rPr>
          <w:sz w:val="23"/>
          <w:szCs w:val="23"/>
        </w:rPr>
        <w:t xml:space="preserve"> pova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uje za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definitívne nevymo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ite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n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.</w:t>
      </w:r>
    </w:p>
    <w:p w14:paraId="00BF49B1" w14:textId="77777777" w:rsidR="00A74EF1" w:rsidRDefault="00A74EF1" w:rsidP="00B25003">
      <w:pPr>
        <w:ind w:left="284"/>
        <w:jc w:val="both"/>
        <w:rPr>
          <w:sz w:val="23"/>
          <w:szCs w:val="23"/>
        </w:rPr>
      </w:pPr>
    </w:p>
    <w:p w14:paraId="457ACAB1" w14:textId="77777777" w:rsidR="00A74EF1" w:rsidRDefault="00A74EF1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neeviduje žiaden HIM ani NHIM.</w:t>
      </w:r>
    </w:p>
    <w:p w14:paraId="12BEB568" w14:textId="77777777" w:rsidR="00A74EF1" w:rsidRDefault="00A74EF1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neeviduje žiadne pohľadávky ani záväzky po lehote splatnosti.</w:t>
      </w:r>
    </w:p>
    <w:p w14:paraId="39421233" w14:textId="77777777" w:rsidR="00E52FFE" w:rsidRDefault="00E52FFE" w:rsidP="00B25003">
      <w:pPr>
        <w:ind w:left="284"/>
        <w:jc w:val="both"/>
        <w:rPr>
          <w:sz w:val="23"/>
          <w:szCs w:val="23"/>
        </w:rPr>
      </w:pPr>
    </w:p>
    <w:p w14:paraId="36C109F1" w14:textId="77777777"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nevykazuje majetok v cudzej mene.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Nevyskytli sa tak</w:t>
      </w:r>
      <w:r>
        <w:rPr>
          <w:sz w:val="23"/>
          <w:szCs w:val="23"/>
        </w:rPr>
        <w:t>é</w:t>
      </w:r>
      <w:r w:rsidRPr="00E52FFE">
        <w:rPr>
          <w:sz w:val="23"/>
          <w:szCs w:val="23"/>
        </w:rPr>
        <w:t xml:space="preserve"> transakcie po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 xml:space="preserve">as </w:t>
      </w:r>
      <w:r>
        <w:rPr>
          <w:sz w:val="23"/>
          <w:szCs w:val="23"/>
        </w:rPr>
        <w:t>úč</w:t>
      </w:r>
      <w:r w:rsidRPr="00E52FFE">
        <w:rPr>
          <w:sz w:val="23"/>
          <w:szCs w:val="23"/>
        </w:rPr>
        <w:t>tovn</w:t>
      </w:r>
      <w:r>
        <w:rPr>
          <w:sz w:val="23"/>
          <w:szCs w:val="23"/>
        </w:rPr>
        <w:t>é</w:t>
      </w:r>
      <w:r w:rsidRPr="00E52FFE">
        <w:rPr>
          <w:sz w:val="23"/>
          <w:szCs w:val="23"/>
        </w:rPr>
        <w:t>ho obdobia, ktor</w:t>
      </w:r>
      <w:r>
        <w:rPr>
          <w:sz w:val="23"/>
          <w:szCs w:val="23"/>
        </w:rPr>
        <w:t>é</w:t>
      </w:r>
      <w:r w:rsidRPr="00E52FFE">
        <w:rPr>
          <w:sz w:val="23"/>
          <w:szCs w:val="23"/>
        </w:rPr>
        <w:t xml:space="preserve"> by bolo treba komentova</w:t>
      </w:r>
      <w:r>
        <w:rPr>
          <w:sz w:val="23"/>
          <w:szCs w:val="23"/>
        </w:rPr>
        <w:t xml:space="preserve">ť </w:t>
      </w:r>
      <w:r w:rsidRPr="00E52FFE">
        <w:rPr>
          <w:sz w:val="23"/>
          <w:szCs w:val="23"/>
        </w:rPr>
        <w:t>v Pozn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mkach.</w:t>
      </w:r>
    </w:p>
    <w:p w14:paraId="39C0D5C4" w14:textId="77777777" w:rsidR="00C570A8" w:rsidRDefault="00C570A8" w:rsidP="00B25003">
      <w:pPr>
        <w:ind w:left="284"/>
        <w:jc w:val="both"/>
        <w:rPr>
          <w:sz w:val="23"/>
          <w:szCs w:val="23"/>
        </w:rPr>
      </w:pPr>
    </w:p>
    <w:p w14:paraId="4320A57B" w14:textId="77777777" w:rsidR="00C570A8" w:rsidRDefault="00C570A8" w:rsidP="00C570A8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Dôvod pre zostavenie účtovnej závierky:</w:t>
      </w:r>
    </w:p>
    <w:p w14:paraId="56793F24" w14:textId="1295C6D0" w:rsidR="00C570A8" w:rsidRDefault="00C570A8" w:rsidP="00C570A8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Účtovná závierka je zostavená z dôvodu ukončenia účtovného obdobia roka 202</w:t>
      </w:r>
      <w:r>
        <w:rPr>
          <w:rFonts w:ascii="Calibri" w:hAnsi="Calibri"/>
          <w:color w:val="000000"/>
        </w:rPr>
        <w:t>3</w:t>
      </w:r>
      <w:r>
        <w:rPr>
          <w:rFonts w:ascii="Calibri" w:hAnsi="Calibri"/>
          <w:color w:val="000000"/>
        </w:rPr>
        <w:t xml:space="preserve"> ako riadna účtovná závierka. Účtovná závierka bola zostavená za predpokladu nepretržitého pokračovania činnosti spoločnosti.</w:t>
      </w:r>
    </w:p>
    <w:p w14:paraId="047831A8" w14:textId="77777777" w:rsidR="00C570A8" w:rsidRDefault="00C570A8" w:rsidP="00C570A8">
      <w:pPr>
        <w:rPr>
          <w:rFonts w:ascii="Calibri" w:hAnsi="Calibri"/>
          <w:color w:val="000000"/>
        </w:rPr>
      </w:pPr>
    </w:p>
    <w:p w14:paraId="1215AAE3" w14:textId="77777777" w:rsidR="00C570A8" w:rsidRDefault="00C570A8" w:rsidP="00C570A8">
      <w:pPr>
        <w:rPr>
          <w:rFonts w:ascii="Calibri" w:hAnsi="Calibri"/>
          <w:color w:val="000000"/>
        </w:rPr>
      </w:pPr>
    </w:p>
    <w:p w14:paraId="64498A6C" w14:textId="119E9FA4" w:rsidR="00C570A8" w:rsidRDefault="00C570A8" w:rsidP="00C570A8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Valné zhromaždenie v súlade s Obchodným zákonníkom schválilo účtovnú závierku zostavenú za predchádzajúce obdobie.</w:t>
      </w:r>
    </w:p>
    <w:p w14:paraId="5F07A3B8" w14:textId="77777777" w:rsidR="00C570A8" w:rsidRDefault="00C570A8" w:rsidP="00B25003">
      <w:pPr>
        <w:ind w:left="284"/>
        <w:jc w:val="both"/>
        <w:rPr>
          <w:sz w:val="23"/>
          <w:szCs w:val="23"/>
        </w:rPr>
      </w:pPr>
    </w:p>
    <w:p w14:paraId="26A72D1B" w14:textId="77777777" w:rsidR="00A74EF1" w:rsidRDefault="00A74EF1" w:rsidP="00B25003">
      <w:pPr>
        <w:ind w:left="284"/>
        <w:jc w:val="both"/>
        <w:rPr>
          <w:sz w:val="23"/>
          <w:szCs w:val="23"/>
        </w:rPr>
      </w:pPr>
    </w:p>
    <w:p w14:paraId="4A29AC2B" w14:textId="77777777" w:rsidR="00C570A8" w:rsidRDefault="00C570A8" w:rsidP="00B25003">
      <w:pPr>
        <w:ind w:left="284"/>
        <w:jc w:val="both"/>
        <w:rPr>
          <w:sz w:val="23"/>
          <w:szCs w:val="23"/>
        </w:rPr>
      </w:pPr>
    </w:p>
    <w:p w14:paraId="767A3461" w14:textId="77777777" w:rsidR="00A74EF1" w:rsidRDefault="00A74EF1" w:rsidP="00A74EF1">
      <w:pPr>
        <w:autoSpaceDE w:val="0"/>
        <w:autoSpaceDN w:val="0"/>
        <w:adjustRightInd w:val="0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Tabuľka </w:t>
      </w:r>
    </w:p>
    <w:p w14:paraId="493869B2" w14:textId="77777777" w:rsidR="00A74EF1" w:rsidRDefault="00A74EF1" w:rsidP="00A74EF1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 xml:space="preserve">Názov položky                                                       Bezprostredne </w:t>
      </w:r>
      <w:proofErr w:type="spellStart"/>
      <w:r>
        <w:rPr>
          <w:rFonts w:ascii="ArialNarrow-Bold" w:hAnsi="ArialNarrow-Bold" w:cs="ArialNarrow-Bold"/>
          <w:b/>
          <w:bCs/>
          <w:sz w:val="21"/>
          <w:szCs w:val="21"/>
        </w:rPr>
        <w:t>predchádz.účtovné</w:t>
      </w:r>
      <w:proofErr w:type="spellEnd"/>
      <w:r>
        <w:rPr>
          <w:rFonts w:ascii="ArialNarrow-Bold" w:hAnsi="ArialNarrow-Bold" w:cs="ArialNarrow-Bold"/>
          <w:b/>
          <w:bCs/>
          <w:sz w:val="21"/>
          <w:szCs w:val="21"/>
        </w:rPr>
        <w:t xml:space="preserve"> obdobie</w:t>
      </w:r>
    </w:p>
    <w:p w14:paraId="143BA044" w14:textId="692A0F02" w:rsidR="00A74EF1" w:rsidRDefault="00A74EF1" w:rsidP="00A74EF1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>Účtovná strata                                                       -</w:t>
      </w:r>
      <w:r w:rsidR="00C570A8">
        <w:rPr>
          <w:rFonts w:ascii="ArialNarrow-Bold" w:hAnsi="ArialNarrow-Bold" w:cs="ArialNarrow-Bold"/>
          <w:b/>
          <w:bCs/>
          <w:sz w:val="21"/>
          <w:szCs w:val="21"/>
        </w:rPr>
        <w:t>746</w:t>
      </w:r>
      <w:r>
        <w:rPr>
          <w:rFonts w:ascii="ArialNarrow-Bold" w:hAnsi="ArialNarrow-Bold" w:cs="ArialNarrow-Bold"/>
          <w:b/>
          <w:bCs/>
          <w:sz w:val="21"/>
          <w:szCs w:val="21"/>
        </w:rPr>
        <w:t>,5</w:t>
      </w:r>
      <w:r w:rsidR="00C570A8">
        <w:rPr>
          <w:rFonts w:ascii="ArialNarrow-Bold" w:hAnsi="ArialNarrow-Bold" w:cs="ArialNarrow-Bold"/>
          <w:b/>
          <w:bCs/>
          <w:sz w:val="21"/>
          <w:szCs w:val="21"/>
        </w:rPr>
        <w:t>0</w:t>
      </w:r>
    </w:p>
    <w:p w14:paraId="4E8018EF" w14:textId="77777777" w:rsidR="00A74EF1" w:rsidRDefault="00A74EF1" w:rsidP="00A74EF1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>Vysporiadanie účtovnej straty                             Bežné účtovné obdobie</w:t>
      </w:r>
    </w:p>
    <w:p w14:paraId="23496690" w14:textId="77777777" w:rsidR="00A74EF1" w:rsidRDefault="00A74EF1" w:rsidP="00A74EF1">
      <w:pPr>
        <w:autoSpaceDE w:val="0"/>
        <w:autoSpaceDN w:val="0"/>
        <w:adjustRightInd w:val="0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Zo zákonného rezervného fondu                                 0</w:t>
      </w:r>
    </w:p>
    <w:p w14:paraId="51F05EB4" w14:textId="77777777" w:rsidR="00A74EF1" w:rsidRDefault="00A74EF1" w:rsidP="00A74EF1">
      <w:pPr>
        <w:autoSpaceDE w:val="0"/>
        <w:autoSpaceDN w:val="0"/>
        <w:adjustRightInd w:val="0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Zo štatutárnych a ostatných fondov                </w:t>
      </w:r>
      <w:r>
        <w:rPr>
          <w:rFonts w:ascii="ArialNarrow" w:hAnsi="ArialNarrow" w:cs="ArialNarrow"/>
          <w:sz w:val="21"/>
          <w:szCs w:val="21"/>
        </w:rPr>
        <w:tab/>
      </w:r>
      <w:r>
        <w:rPr>
          <w:rFonts w:ascii="ArialNarrow" w:hAnsi="ArialNarrow" w:cs="ArialNarrow"/>
          <w:sz w:val="21"/>
          <w:szCs w:val="21"/>
        </w:rPr>
        <w:tab/>
        <w:t>0</w:t>
      </w:r>
    </w:p>
    <w:p w14:paraId="0D6E08AB" w14:textId="77777777" w:rsidR="00A74EF1" w:rsidRDefault="00A74EF1" w:rsidP="00A74EF1">
      <w:pPr>
        <w:autoSpaceDE w:val="0"/>
        <w:autoSpaceDN w:val="0"/>
        <w:adjustRightInd w:val="0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 nerozdeleného zisku minulých rokov</w:t>
      </w:r>
      <w:r>
        <w:rPr>
          <w:rFonts w:ascii="ArialNarrow" w:hAnsi="ArialNarrow" w:cs="ArialNarrow"/>
          <w:sz w:val="21"/>
          <w:szCs w:val="21"/>
        </w:rPr>
        <w:tab/>
      </w:r>
      <w:r>
        <w:rPr>
          <w:rFonts w:ascii="ArialNarrow" w:hAnsi="ArialNarrow" w:cs="ArialNarrow"/>
          <w:sz w:val="21"/>
          <w:szCs w:val="21"/>
        </w:rPr>
        <w:tab/>
        <w:t>0</w:t>
      </w:r>
    </w:p>
    <w:p w14:paraId="514F4377" w14:textId="77777777" w:rsidR="00A74EF1" w:rsidRDefault="00A74EF1" w:rsidP="00A74EF1">
      <w:pPr>
        <w:autoSpaceDE w:val="0"/>
        <w:autoSpaceDN w:val="0"/>
        <w:adjustRightInd w:val="0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Úhrada straty spoločníkmi</w:t>
      </w:r>
      <w:r>
        <w:rPr>
          <w:rFonts w:ascii="ArialNarrow" w:hAnsi="ArialNarrow" w:cs="ArialNarrow"/>
          <w:sz w:val="21"/>
          <w:szCs w:val="21"/>
        </w:rPr>
        <w:tab/>
      </w:r>
      <w:r>
        <w:rPr>
          <w:rFonts w:ascii="ArialNarrow" w:hAnsi="ArialNarrow" w:cs="ArialNarrow"/>
          <w:sz w:val="21"/>
          <w:szCs w:val="21"/>
        </w:rPr>
        <w:tab/>
      </w:r>
      <w:r>
        <w:rPr>
          <w:rFonts w:ascii="ArialNarrow" w:hAnsi="ArialNarrow" w:cs="ArialNarrow"/>
          <w:sz w:val="21"/>
          <w:szCs w:val="21"/>
        </w:rPr>
        <w:tab/>
      </w:r>
      <w:r>
        <w:rPr>
          <w:rFonts w:ascii="ArialNarrow" w:hAnsi="ArialNarrow" w:cs="ArialNarrow"/>
          <w:sz w:val="21"/>
          <w:szCs w:val="21"/>
        </w:rPr>
        <w:tab/>
        <w:t>0</w:t>
      </w:r>
    </w:p>
    <w:p w14:paraId="68DC00AC" w14:textId="02A1E49E" w:rsidR="00A74EF1" w:rsidRPr="00A74EF1" w:rsidRDefault="00A74EF1" w:rsidP="00A74EF1">
      <w:pPr>
        <w:autoSpaceDE w:val="0"/>
        <w:autoSpaceDN w:val="0"/>
        <w:adjustRightInd w:val="0"/>
        <w:rPr>
          <w:rFonts w:ascii="ArialNarrow" w:hAnsi="ArialNarrow" w:cs="ArialNarrow"/>
          <w:b/>
          <w:sz w:val="21"/>
          <w:szCs w:val="21"/>
        </w:rPr>
      </w:pPr>
      <w:r w:rsidRPr="00A74EF1">
        <w:rPr>
          <w:rFonts w:ascii="ArialNarrow" w:hAnsi="ArialNarrow" w:cs="ArialNarrow"/>
          <w:b/>
          <w:sz w:val="21"/>
          <w:szCs w:val="21"/>
        </w:rPr>
        <w:t xml:space="preserve">Prevod na účet neuhradenej straty </w:t>
      </w:r>
      <w:proofErr w:type="spellStart"/>
      <w:r w:rsidRPr="00A74EF1">
        <w:rPr>
          <w:rFonts w:ascii="ArialNarrow" w:hAnsi="ArialNarrow" w:cs="ArialNarrow"/>
          <w:b/>
          <w:sz w:val="21"/>
          <w:szCs w:val="21"/>
        </w:rPr>
        <w:t>min.obd</w:t>
      </w:r>
      <w:proofErr w:type="spellEnd"/>
      <w:r w:rsidRPr="00A74EF1">
        <w:rPr>
          <w:rFonts w:ascii="ArialNarrow" w:hAnsi="ArialNarrow" w:cs="ArialNarrow"/>
          <w:b/>
          <w:sz w:val="21"/>
          <w:szCs w:val="21"/>
        </w:rPr>
        <w:t xml:space="preserve">.          </w:t>
      </w:r>
      <w:r w:rsidR="00C570A8">
        <w:rPr>
          <w:rFonts w:ascii="ArialNarrow" w:hAnsi="ArialNarrow" w:cs="ArialNarrow"/>
          <w:b/>
          <w:sz w:val="21"/>
          <w:szCs w:val="21"/>
        </w:rPr>
        <w:t>746</w:t>
      </w:r>
      <w:r w:rsidRPr="00A74EF1">
        <w:rPr>
          <w:rFonts w:ascii="ArialNarrow" w:hAnsi="ArialNarrow" w:cs="ArialNarrow"/>
          <w:b/>
          <w:sz w:val="21"/>
          <w:szCs w:val="21"/>
        </w:rPr>
        <w:t>,5</w:t>
      </w:r>
      <w:r w:rsidR="00C570A8">
        <w:rPr>
          <w:rFonts w:ascii="ArialNarrow" w:hAnsi="ArialNarrow" w:cs="ArialNarrow"/>
          <w:b/>
          <w:sz w:val="21"/>
          <w:szCs w:val="21"/>
        </w:rPr>
        <w:t>0</w:t>
      </w:r>
    </w:p>
    <w:p w14:paraId="5B12BB85" w14:textId="77777777" w:rsidR="00A74EF1" w:rsidRDefault="00A74EF1" w:rsidP="00A74EF1">
      <w:pPr>
        <w:autoSpaceDE w:val="0"/>
        <w:autoSpaceDN w:val="0"/>
        <w:adjustRightInd w:val="0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Iné</w:t>
      </w:r>
    </w:p>
    <w:p w14:paraId="78B0D2E0" w14:textId="77777777" w:rsidR="00C71502" w:rsidRDefault="00C7150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96DB5B" w14:textId="77777777" w:rsidR="00914C0F" w:rsidRDefault="00914C0F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069EED3" w14:textId="77777777" w:rsidR="00914C0F" w:rsidRDefault="00914C0F" w:rsidP="00914C0F">
      <w:pPr>
        <w:autoSpaceDE w:val="0"/>
        <w:autoSpaceDN w:val="0"/>
        <w:adjustRightInd w:val="0"/>
        <w:rPr>
          <w:rFonts w:ascii="ArialNarrow" w:hAnsi="ArialNarrow" w:cs="ArialNarrow"/>
          <w:color w:val="000000"/>
          <w:sz w:val="21"/>
          <w:szCs w:val="21"/>
        </w:rPr>
      </w:pPr>
      <w:r>
        <w:rPr>
          <w:rFonts w:ascii="ArialNarrow" w:hAnsi="ArialNarrow" w:cs="ArialNarrow"/>
          <w:color w:val="000000"/>
          <w:sz w:val="21"/>
          <w:szCs w:val="21"/>
        </w:rPr>
        <w:t>Tabuľka o obrate</w:t>
      </w:r>
    </w:p>
    <w:p w14:paraId="5AFBFA67" w14:textId="17CC2C43" w:rsidR="00914C0F" w:rsidRDefault="00914C0F" w:rsidP="00914C0F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color w:val="000000"/>
          <w:sz w:val="21"/>
          <w:szCs w:val="21"/>
        </w:rPr>
      </w:pPr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 xml:space="preserve">Názov položky                        Bežné účtovné obdobie   </w:t>
      </w:r>
    </w:p>
    <w:p w14:paraId="0FC234E3" w14:textId="19388B8C" w:rsidR="00914C0F" w:rsidRDefault="00914C0F" w:rsidP="00914C0F">
      <w:pPr>
        <w:autoSpaceDE w:val="0"/>
        <w:autoSpaceDN w:val="0"/>
        <w:adjustRightInd w:val="0"/>
        <w:rPr>
          <w:rFonts w:ascii="ArialNarrow" w:hAnsi="ArialNarrow" w:cs="ArialNarrow"/>
          <w:color w:val="000000"/>
          <w:sz w:val="21"/>
          <w:szCs w:val="21"/>
        </w:rPr>
      </w:pPr>
      <w:r>
        <w:rPr>
          <w:rFonts w:ascii="ArialNarrow" w:hAnsi="ArialNarrow" w:cs="ArialNarrow"/>
          <w:color w:val="000000"/>
          <w:sz w:val="21"/>
          <w:szCs w:val="21"/>
        </w:rPr>
        <w:t xml:space="preserve">Tržby za vlastné výrobky                </w:t>
      </w:r>
      <w:r w:rsidR="00C570A8" w:rsidRPr="00C570A8">
        <w:rPr>
          <w:rFonts w:ascii="ArialNarrow" w:hAnsi="ArialNarrow" w:cs="ArialNarrow"/>
          <w:b/>
          <w:bCs/>
          <w:color w:val="000000"/>
          <w:sz w:val="21"/>
          <w:szCs w:val="21"/>
        </w:rPr>
        <w:t>10061</w:t>
      </w:r>
      <w:r>
        <w:rPr>
          <w:rFonts w:ascii="ArialNarrow" w:hAnsi="ArialNarrow" w:cs="ArialNarrow"/>
          <w:color w:val="000000"/>
          <w:sz w:val="21"/>
          <w:szCs w:val="21"/>
        </w:rPr>
        <w:t xml:space="preserve">                                </w:t>
      </w:r>
    </w:p>
    <w:p w14:paraId="2873986C" w14:textId="77777777" w:rsidR="00914C0F" w:rsidRDefault="00914C0F" w:rsidP="00914C0F">
      <w:pPr>
        <w:autoSpaceDE w:val="0"/>
        <w:autoSpaceDN w:val="0"/>
        <w:adjustRightInd w:val="0"/>
        <w:rPr>
          <w:rFonts w:ascii="ArialNarrow" w:hAnsi="ArialNarrow" w:cs="ArialNarrow"/>
          <w:color w:val="000000"/>
          <w:sz w:val="21"/>
          <w:szCs w:val="21"/>
        </w:rPr>
      </w:pPr>
      <w:r>
        <w:rPr>
          <w:rFonts w:ascii="ArialNarrow" w:hAnsi="ArialNarrow" w:cs="ArialNarrow"/>
          <w:color w:val="000000"/>
          <w:sz w:val="21"/>
          <w:szCs w:val="21"/>
        </w:rPr>
        <w:t>Tržby z predaja služieb</w:t>
      </w:r>
    </w:p>
    <w:p w14:paraId="75AB244C" w14:textId="77777777" w:rsidR="00914C0F" w:rsidRDefault="00914C0F" w:rsidP="00914C0F">
      <w:pPr>
        <w:autoSpaceDE w:val="0"/>
        <w:autoSpaceDN w:val="0"/>
        <w:adjustRightInd w:val="0"/>
        <w:rPr>
          <w:rFonts w:ascii="ArialNarrow" w:hAnsi="ArialNarrow" w:cs="ArialNarrow"/>
          <w:color w:val="000000"/>
          <w:sz w:val="21"/>
          <w:szCs w:val="21"/>
        </w:rPr>
      </w:pPr>
      <w:r>
        <w:rPr>
          <w:rFonts w:ascii="ArialNarrow" w:hAnsi="ArialNarrow" w:cs="ArialNarrow"/>
          <w:color w:val="000000"/>
          <w:sz w:val="21"/>
          <w:szCs w:val="21"/>
        </w:rPr>
        <w:t>Tržby za tovar</w:t>
      </w:r>
    </w:p>
    <w:p w14:paraId="419C793C" w14:textId="77777777" w:rsidR="00914C0F" w:rsidRDefault="00914C0F" w:rsidP="00914C0F">
      <w:pPr>
        <w:autoSpaceDE w:val="0"/>
        <w:autoSpaceDN w:val="0"/>
        <w:adjustRightInd w:val="0"/>
        <w:rPr>
          <w:rFonts w:ascii="ArialNarrow" w:hAnsi="ArialNarrow" w:cs="ArialNarrow"/>
          <w:color w:val="000000"/>
          <w:sz w:val="21"/>
          <w:szCs w:val="21"/>
        </w:rPr>
      </w:pPr>
      <w:r>
        <w:rPr>
          <w:rFonts w:ascii="ArialNarrow" w:hAnsi="ArialNarrow" w:cs="ArialNarrow"/>
          <w:color w:val="000000"/>
          <w:sz w:val="21"/>
          <w:szCs w:val="21"/>
        </w:rPr>
        <w:t>Výnosy zo zákazky</w:t>
      </w:r>
    </w:p>
    <w:p w14:paraId="2AE3D5EE" w14:textId="77777777" w:rsidR="00914C0F" w:rsidRDefault="00914C0F" w:rsidP="00914C0F">
      <w:pPr>
        <w:autoSpaceDE w:val="0"/>
        <w:autoSpaceDN w:val="0"/>
        <w:adjustRightInd w:val="0"/>
        <w:rPr>
          <w:rFonts w:ascii="ArialNarrow" w:hAnsi="ArialNarrow" w:cs="ArialNarrow"/>
          <w:color w:val="000000"/>
          <w:sz w:val="21"/>
          <w:szCs w:val="21"/>
        </w:rPr>
      </w:pPr>
      <w:r>
        <w:rPr>
          <w:rFonts w:ascii="ArialNarrow" w:hAnsi="ArialNarrow" w:cs="ArialNarrow"/>
          <w:color w:val="000000"/>
          <w:sz w:val="21"/>
          <w:szCs w:val="21"/>
        </w:rPr>
        <w:t>Výnosy z </w:t>
      </w:r>
      <w:proofErr w:type="spellStart"/>
      <w:r>
        <w:rPr>
          <w:rFonts w:ascii="ArialNarrow" w:hAnsi="ArialNarrow" w:cs="ArialNarrow"/>
          <w:color w:val="000000"/>
          <w:sz w:val="21"/>
          <w:szCs w:val="21"/>
        </w:rPr>
        <w:t>nehnuteľ</w:t>
      </w:r>
      <w:proofErr w:type="spellEnd"/>
      <w:r>
        <w:rPr>
          <w:rFonts w:ascii="ArialNarrow" w:hAnsi="ArialNarrow" w:cs="ArialNarrow"/>
          <w:color w:val="000000"/>
          <w:sz w:val="21"/>
          <w:szCs w:val="21"/>
        </w:rPr>
        <w:t>. na predaj</w:t>
      </w:r>
    </w:p>
    <w:p w14:paraId="0192CADB" w14:textId="299BD89F" w:rsidR="00914C0F" w:rsidRDefault="00914C0F" w:rsidP="00914C0F">
      <w:pPr>
        <w:autoSpaceDE w:val="0"/>
        <w:autoSpaceDN w:val="0"/>
        <w:adjustRightInd w:val="0"/>
        <w:rPr>
          <w:rFonts w:ascii="ArialNarrow" w:hAnsi="ArialNarrow" w:cs="ArialNarrow"/>
          <w:color w:val="000000"/>
          <w:sz w:val="21"/>
          <w:szCs w:val="21"/>
        </w:rPr>
      </w:pPr>
      <w:r>
        <w:rPr>
          <w:rFonts w:ascii="ArialNarrow" w:hAnsi="ArialNarrow" w:cs="ArialNarrow"/>
          <w:color w:val="000000"/>
          <w:sz w:val="21"/>
          <w:szCs w:val="21"/>
        </w:rPr>
        <w:t xml:space="preserve">Iné výnosy </w:t>
      </w:r>
      <w:r w:rsidR="00C570A8">
        <w:rPr>
          <w:rFonts w:ascii="ArialNarrow" w:hAnsi="ArialNarrow" w:cs="ArialNarrow"/>
          <w:color w:val="000000"/>
          <w:sz w:val="21"/>
          <w:szCs w:val="21"/>
        </w:rPr>
        <w:t xml:space="preserve">                                        </w:t>
      </w:r>
      <w:r w:rsidR="00C570A8" w:rsidRPr="00C570A8">
        <w:rPr>
          <w:rFonts w:ascii="ArialNarrow" w:hAnsi="ArialNarrow" w:cs="ArialNarrow"/>
          <w:b/>
          <w:bCs/>
          <w:color w:val="000000"/>
          <w:sz w:val="21"/>
          <w:szCs w:val="21"/>
        </w:rPr>
        <w:t>0,05</w:t>
      </w:r>
    </w:p>
    <w:p w14:paraId="777CDA4B" w14:textId="77777777" w:rsidR="00914C0F" w:rsidRPr="0045237F" w:rsidRDefault="00914C0F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BCF6BE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2F6C5211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9953063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sectPr w:rsidR="002D76B9" w:rsidSect="00C31CA3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82E3D" w14:textId="77777777" w:rsidR="00C31CA3" w:rsidRDefault="00C31CA3" w:rsidP="001869C8">
      <w:r>
        <w:separator/>
      </w:r>
    </w:p>
  </w:endnote>
  <w:endnote w:type="continuationSeparator" w:id="0">
    <w:p w14:paraId="67A8F490" w14:textId="77777777" w:rsidR="00C31CA3" w:rsidRDefault="00C31CA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8C95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4C0F">
      <w:rPr>
        <w:noProof/>
      </w:rPr>
      <w:t>3</w:t>
    </w:r>
    <w:r>
      <w:fldChar w:fldCharType="end"/>
    </w:r>
  </w:p>
  <w:p w14:paraId="0261315B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36A2C" w14:textId="77777777" w:rsidR="00C31CA3" w:rsidRDefault="00C31CA3" w:rsidP="001869C8">
      <w:r>
        <w:separator/>
      </w:r>
    </w:p>
  </w:footnote>
  <w:footnote w:type="continuationSeparator" w:id="0">
    <w:p w14:paraId="05C02854" w14:textId="77777777" w:rsidR="00C31CA3" w:rsidRDefault="00C31CA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4"/>
      <w:gridCol w:w="700"/>
      <w:gridCol w:w="2659"/>
      <w:gridCol w:w="282"/>
      <w:gridCol w:w="2659"/>
    </w:tblGrid>
    <w:tr w:rsidR="0045237F" w14:paraId="2585571C" w14:textId="77777777" w:rsidTr="0045237F">
      <w:trPr>
        <w:trHeight w:val="326"/>
      </w:trPr>
      <w:tc>
        <w:tcPr>
          <w:tcW w:w="2954" w:type="dxa"/>
          <w:vAlign w:val="center"/>
        </w:tcPr>
        <w:p w14:paraId="64DD45A9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7C6537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E7BD0DF" w14:textId="77777777" w:rsidR="0045237F" w:rsidRDefault="0045237F" w:rsidP="00655414">
          <w:r>
            <w:t>IČO: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F08C50A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E7BFC27" w14:textId="77777777" w:rsidR="0045237F" w:rsidRDefault="0045237F" w:rsidP="00655414">
          <w:r>
            <w:t>DIČ:</w:t>
          </w:r>
        </w:p>
      </w:tc>
    </w:tr>
  </w:tbl>
  <w:p w14:paraId="076B993A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0227769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206CA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9" w15:restartNumberingAfterBreak="0">
    <w:nsid w:val="3E032B10"/>
    <w:multiLevelType w:val="hybridMultilevel"/>
    <w:tmpl w:val="AB10024C"/>
    <w:lvl w:ilvl="0" w:tplc="8BF607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744528353">
    <w:abstractNumId w:val="13"/>
  </w:num>
  <w:num w:numId="2" w16cid:durableId="1584950110">
    <w:abstractNumId w:val="11"/>
  </w:num>
  <w:num w:numId="3" w16cid:durableId="1561205002">
    <w:abstractNumId w:val="1"/>
  </w:num>
  <w:num w:numId="4" w16cid:durableId="1537741571">
    <w:abstractNumId w:val="10"/>
  </w:num>
  <w:num w:numId="5" w16cid:durableId="1868056019">
    <w:abstractNumId w:val="3"/>
  </w:num>
  <w:num w:numId="6" w16cid:durableId="426123557">
    <w:abstractNumId w:val="0"/>
  </w:num>
  <w:num w:numId="7" w16cid:durableId="1450196296">
    <w:abstractNumId w:val="2"/>
  </w:num>
  <w:num w:numId="8" w16cid:durableId="1546480064">
    <w:abstractNumId w:val="7"/>
  </w:num>
  <w:num w:numId="9" w16cid:durableId="1642690728">
    <w:abstractNumId w:val="12"/>
  </w:num>
  <w:num w:numId="10" w16cid:durableId="1214931133">
    <w:abstractNumId w:val="8"/>
  </w:num>
  <w:num w:numId="11" w16cid:durableId="978652693">
    <w:abstractNumId w:val="5"/>
  </w:num>
  <w:num w:numId="12" w16cid:durableId="1602255143">
    <w:abstractNumId w:val="4"/>
  </w:num>
  <w:num w:numId="13" w16cid:durableId="1285035726">
    <w:abstractNumId w:val="9"/>
  </w:num>
  <w:num w:numId="14" w16cid:durableId="31930712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2C53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A73BF"/>
    <w:rsid w:val="000C089A"/>
    <w:rsid w:val="000C50DA"/>
    <w:rsid w:val="000C67DA"/>
    <w:rsid w:val="000D00F5"/>
    <w:rsid w:val="000D2BAA"/>
    <w:rsid w:val="000E000C"/>
    <w:rsid w:val="000F781C"/>
    <w:rsid w:val="000F7A09"/>
    <w:rsid w:val="00106EF5"/>
    <w:rsid w:val="00114AF7"/>
    <w:rsid w:val="0011529D"/>
    <w:rsid w:val="00115986"/>
    <w:rsid w:val="00117DCC"/>
    <w:rsid w:val="00136819"/>
    <w:rsid w:val="00150005"/>
    <w:rsid w:val="0015355C"/>
    <w:rsid w:val="00157AE4"/>
    <w:rsid w:val="00161DD7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AC5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4C0F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EF1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003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0F2C"/>
    <w:rsid w:val="00BC6A1A"/>
    <w:rsid w:val="00BD09BF"/>
    <w:rsid w:val="00BD14D0"/>
    <w:rsid w:val="00BD4886"/>
    <w:rsid w:val="00BE0A56"/>
    <w:rsid w:val="00BE4FC2"/>
    <w:rsid w:val="00BE718E"/>
    <w:rsid w:val="00BE7519"/>
    <w:rsid w:val="00BE7897"/>
    <w:rsid w:val="00BF2E1C"/>
    <w:rsid w:val="00BF4443"/>
    <w:rsid w:val="00C04C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1CA3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0A8"/>
    <w:rsid w:val="00C6761A"/>
    <w:rsid w:val="00C702AB"/>
    <w:rsid w:val="00C71502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2CDE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2739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2FFE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02D2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FCFC19"/>
  <w15:docId w15:val="{247A6603-7B58-4A95-924D-FC5EBDB0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aliases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edn%E1rik&amp;MENO=Luk%E1%9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A50CA-8DAE-408C-9DB6-9145F64D7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868</Words>
  <Characters>4953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5810</CharactersWithSpaces>
  <SharedDoc>false</SharedDoc>
  <HLinks>
    <vt:vector size="6" baseType="variant">
      <vt:variant>
        <vt:i4>4259952</vt:i4>
      </vt:variant>
      <vt:variant>
        <vt:i4>0</vt:i4>
      </vt:variant>
      <vt:variant>
        <vt:i4>0</vt:i4>
      </vt:variant>
      <vt:variant>
        <vt:i4>5</vt:i4>
      </vt:variant>
      <vt:variant>
        <vt:lpwstr>https://www.orsr.sk/hladaj_osoba.asp?PR=Bedn%E1rik&amp;MENO=Luk%E1%9A&amp;SID=0&amp;T=f0&amp;R=0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Tereza Lhotská</cp:lastModifiedBy>
  <cp:revision>3</cp:revision>
  <cp:lastPrinted>2019-01-11T09:52:00Z</cp:lastPrinted>
  <dcterms:created xsi:type="dcterms:W3CDTF">2024-04-21T12:42:00Z</dcterms:created>
  <dcterms:modified xsi:type="dcterms:W3CDTF">2024-04-21T12:51:00Z</dcterms:modified>
</cp:coreProperties>
</file>