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elotextu"/>
        <w:rPr/>
      </w:pPr>
      <w:r>
        <w:rPr/>
      </w:r>
    </w:p>
    <w:tbl>
      <w:tblPr>
        <w:tblW w:w="9781" w:type="dxa"/>
        <w:jc w:val="left"/>
        <w:tblInd w:w="32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487"/>
        <w:gridCol w:w="2592"/>
        <w:gridCol w:w="336"/>
        <w:gridCol w:w="341"/>
        <w:gridCol w:w="336"/>
        <w:gridCol w:w="337"/>
        <w:gridCol w:w="340"/>
        <w:gridCol w:w="336"/>
        <w:gridCol w:w="341"/>
        <w:gridCol w:w="336"/>
        <w:gridCol w:w="569"/>
        <w:gridCol w:w="337"/>
        <w:gridCol w:w="336"/>
        <w:gridCol w:w="337"/>
        <w:gridCol w:w="420"/>
      </w:tblGrid>
      <w:tr>
        <w:trPr/>
        <w:tc>
          <w:tcPr>
            <w:tcW w:w="2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left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  <w:lang w:eastAsia="sk-SK"/>
              </w:rPr>
              <w:t>Poznámky (Úč  NUJ 3 – 01)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left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IČO 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/SID</w:t>
            </w:r>
          </w:p>
        </w:tc>
        <w:tc>
          <w:tcPr>
            <w:tcW w:w="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</w:tr>
    </w:tbl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I.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200"/>
        <w:jc w:val="center"/>
        <w:outlineLvl w:val="1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Všeobecné údaje</w:t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zakladateľovi alebo zriaďovateľovi účtovnej jednotky:</w:t>
      </w:r>
    </w:p>
    <w:tbl>
      <w:tblPr>
        <w:tblW w:w="9781" w:type="dxa"/>
        <w:jc w:val="left"/>
        <w:tblInd w:w="33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724"/>
        <w:gridCol w:w="7056"/>
      </w:tblGrid>
      <w:tr>
        <w:trPr>
          <w:trHeight w:val="284" w:hRule="atLeast"/>
        </w:trPr>
        <w:tc>
          <w:tcPr>
            <w:tcW w:w="272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7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>
        <w:trPr>
          <w:trHeight w:val="284" w:hRule="atLeast"/>
        </w:trPr>
        <w:tc>
          <w:tcPr>
            <w:tcW w:w="272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7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Občianske združenie Svitanie – Združenie na pomoc ľuďom s mentálnym postihnutím v Malackách</w:t>
            </w:r>
          </w:p>
        </w:tc>
      </w:tr>
      <w:tr>
        <w:trPr>
          <w:trHeight w:val="284" w:hRule="atLeast"/>
        </w:trPr>
        <w:tc>
          <w:tcPr>
            <w:tcW w:w="272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7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Ulica 1. mája 15, 901 01 Malacky</w:t>
            </w:r>
          </w:p>
        </w:tc>
      </w:tr>
      <w:tr>
        <w:trPr>
          <w:trHeight w:val="178" w:hRule="atLeast"/>
        </w:trPr>
        <w:tc>
          <w:tcPr>
            <w:tcW w:w="2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Dátum</w:t>
            </w:r>
            <w:r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7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19. 12. 2006</w:t>
            </w:r>
          </w:p>
        </w:tc>
      </w:tr>
    </w:tbl>
    <w:p>
      <w:pPr>
        <w:pStyle w:val="Normal"/>
        <w:spacing w:lineRule="auto" w:line="240" w:before="0" w:after="0"/>
        <w:ind w:left="36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360" w:hanging="0"/>
        <w:rPr>
          <w:sz w:val="18"/>
          <w:szCs w:val="18"/>
        </w:rPr>
      </w:pPr>
      <w:r>
        <w:rPr>
          <w:sz w:val="18"/>
          <w:szCs w:val="18"/>
        </w:rPr>
        <w:t xml:space="preserve">Údaje uvedené v Poznámkach sú v mene EUR, ak nie je uvedené inak. </w:t>
      </w:r>
    </w:p>
    <w:p>
      <w:pPr>
        <w:pStyle w:val="Normal"/>
        <w:spacing w:lineRule="auto" w:line="240" w:before="0" w:after="0"/>
        <w:ind w:left="36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827"/>
        <w:gridCol w:w="6974"/>
      </w:tblGrid>
      <w:tr>
        <w:trPr>
          <w:trHeight w:val="284" w:hRule="atLeast"/>
        </w:trPr>
        <w:tc>
          <w:tcPr>
            <w:tcW w:w="28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Štatutárne orgány:</w:t>
            </w:r>
          </w:p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6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Predseda správnej rady: Ing. Jozef Hušek</w:t>
            </w:r>
          </w:p>
        </w:tc>
      </w:tr>
      <w:tr>
        <w:trPr>
          <w:trHeight w:val="284" w:hRule="atLeast"/>
        </w:trPr>
        <w:tc>
          <w:tcPr>
            <w:tcW w:w="2827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Členovia správnej rady: Ing. Iveta Hlavenková</w:t>
            </w:r>
          </w:p>
        </w:tc>
      </w:tr>
      <w:tr>
        <w:trPr>
          <w:trHeight w:val="284" w:hRule="atLeast"/>
        </w:trPr>
        <w:tc>
          <w:tcPr>
            <w:tcW w:w="2827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</w:t>
            </w:r>
            <w:r>
              <w:rPr>
                <w:b/>
                <w:bCs/>
                <w:sz w:val="16"/>
                <w:szCs w:val="16"/>
              </w:rPr>
              <w:t>Mgr. Katarína Hušková</w:t>
            </w:r>
          </w:p>
        </w:tc>
      </w:tr>
      <w:tr>
        <w:trPr>
          <w:trHeight w:val="284" w:hRule="atLeast"/>
        </w:trPr>
        <w:tc>
          <w:tcPr>
            <w:tcW w:w="2827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tabs>
                <w:tab w:val="left" w:pos="1451" w:leader="none"/>
              </w:tabs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</w:t>
            </w:r>
            <w:r>
              <w:rPr>
                <w:b/>
                <w:bCs/>
                <w:sz w:val="16"/>
                <w:szCs w:val="16"/>
              </w:rPr>
              <w:t xml:space="preserve">Mgr. Alena Kmecová </w:t>
            </w:r>
          </w:p>
        </w:tc>
      </w:tr>
      <w:tr>
        <w:trPr>
          <w:trHeight w:val="284" w:hRule="atLeast"/>
        </w:trPr>
        <w:tc>
          <w:tcPr>
            <w:tcW w:w="2827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</w:t>
            </w:r>
            <w:r>
              <w:rPr>
                <w:b/>
                <w:bCs/>
                <w:sz w:val="16"/>
                <w:szCs w:val="16"/>
              </w:rPr>
              <w:t>Mária Mináriková</w:t>
            </w:r>
          </w:p>
        </w:tc>
      </w:tr>
      <w:tr>
        <w:trPr>
          <w:trHeight w:val="284" w:hRule="atLeast"/>
        </w:trPr>
        <w:tc>
          <w:tcPr>
            <w:tcW w:w="2827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b/>
                <w:bCs/>
                <w:sz w:val="16"/>
                <w:szCs w:val="16"/>
              </w:rPr>
              <w:t xml:space="preserve">Riaditeľka:                       </w:t>
            </w:r>
            <w:r>
              <w:rPr>
                <w:b/>
                <w:bCs/>
                <w:sz w:val="16"/>
                <w:szCs w:val="16"/>
              </w:rPr>
              <w:t>Mgr.</w:t>
            </w:r>
            <w:r>
              <w:rPr>
                <w:b/>
                <w:bCs/>
                <w:sz w:val="16"/>
                <w:szCs w:val="16"/>
              </w:rPr>
              <w:t xml:space="preserve"> Katarína Martincová </w:t>
            </w:r>
          </w:p>
        </w:tc>
      </w:tr>
      <w:tr>
        <w:trPr>
          <w:trHeight w:val="284" w:hRule="atLeast"/>
        </w:trPr>
        <w:tc>
          <w:tcPr>
            <w:tcW w:w="2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Dozorný orgán:</w:t>
            </w:r>
          </w:p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6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Revízor:                            Ing. Mgr. Zuzana Baligová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Opis činnosti, na účel ktorej bola účtovná jednotka zriadená a opis druhu podnikateľskej činnosti, ak ju účtovná jednotka vykonáva.</w:t>
      </w:r>
    </w:p>
    <w:tbl>
      <w:tblPr>
        <w:tblW w:w="9802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827"/>
        <w:gridCol w:w="6974"/>
      </w:tblGrid>
      <w:tr>
        <w:trPr>
          <w:trHeight w:val="284" w:hRule="atLeast"/>
        </w:trPr>
        <w:tc>
          <w:tcPr>
            <w:tcW w:w="28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Hlavná činnosť:</w:t>
            </w:r>
          </w:p>
        </w:tc>
        <w:tc>
          <w:tcPr>
            <w:tcW w:w="6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Všeobecne prospešné služby v oblasti sociálnej pomoci – sociálne poradenstvo, špecializované sociálne  </w:t>
            </w:r>
          </w:p>
        </w:tc>
      </w:tr>
      <w:tr>
        <w:trPr>
          <w:trHeight w:val="284" w:hRule="atLeast"/>
        </w:trPr>
        <w:tc>
          <w:tcPr>
            <w:tcW w:w="2827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poradenstvo, zariadenie podporovaného bývania, rehabilitačné stredisko, sprostredkovanie osobnej </w:t>
            </w:r>
          </w:p>
        </w:tc>
      </w:tr>
      <w:tr>
        <w:trPr>
          <w:trHeight w:val="284" w:hRule="atLeast"/>
        </w:trPr>
        <w:tc>
          <w:tcPr>
            <w:tcW w:w="2827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asistencie, chránená dielňa a chránené pracovisko</w:t>
            </w:r>
          </w:p>
        </w:tc>
      </w:tr>
      <w:tr>
        <w:trPr>
          <w:trHeight w:val="284" w:hRule="atLeast"/>
        </w:trPr>
        <w:tc>
          <w:tcPr>
            <w:tcW w:w="2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Podnikateľská činnosť:</w:t>
            </w:r>
          </w:p>
        </w:tc>
        <w:tc>
          <w:tcPr>
            <w:tcW w:w="6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Predaj výrobkov z chránenej dielne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>
      <w:pPr>
        <w:pStyle w:val="Normal"/>
        <w:spacing w:lineRule="auto" w:line="240" w:before="0" w:after="120"/>
        <w:ind w:firstLine="36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 ods. 4  o počte zamestnancov a dobrovoľníkov:</w:t>
      </w:r>
    </w:p>
    <w:tbl>
      <w:tblPr>
        <w:tblW w:w="4800" w:type="pct"/>
        <w:jc w:val="left"/>
        <w:tblInd w:w="32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032"/>
        <w:gridCol w:w="2767"/>
        <w:gridCol w:w="2779"/>
      </w:tblGrid>
      <w:tr>
        <w:trPr>
          <w:trHeight w:val="284" w:hRule="atLeast"/>
        </w:trPr>
        <w:tc>
          <w:tcPr>
            <w:tcW w:w="4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Textopatrenia"/>
              <w:spacing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>
        <w:trPr>
          <w:trHeight w:val="284" w:hRule="atLeast"/>
        </w:trPr>
        <w:tc>
          <w:tcPr>
            <w:tcW w:w="4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Textopatrenia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2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  <w:p>
            <w:pPr>
              <w:pStyle w:val="Textopatrenia"/>
              <w:spacing w:before="0" w:after="0"/>
              <w:jc w:val="center"/>
              <w:rPr/>
            </w:pPr>
            <w:r>
              <w:rPr>
                <w:b/>
                <w:bCs/>
                <w:sz w:val="16"/>
                <w:szCs w:val="16"/>
              </w:rPr>
              <w:t>22</w:t>
            </w:r>
          </w:p>
          <w:p>
            <w:pPr>
              <w:pStyle w:val="Textopatrenia"/>
              <w:spacing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2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/>
            </w:pPr>
            <w:r>
              <w:rPr>
                <w:b/>
                <w:bCs/>
                <w:sz w:val="16"/>
                <w:szCs w:val="16"/>
              </w:rPr>
              <w:t>23</w:t>
            </w:r>
          </w:p>
        </w:tc>
      </w:tr>
      <w:tr>
        <w:trPr>
          <w:trHeight w:val="284" w:hRule="atLeast"/>
        </w:trPr>
        <w:tc>
          <w:tcPr>
            <w:tcW w:w="4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Textopatrenia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2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</w:tr>
      <w:tr>
        <w:trPr>
          <w:trHeight w:val="284" w:hRule="atLeast"/>
        </w:trPr>
        <w:tc>
          <w:tcPr>
            <w:tcW w:w="4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Textopatrenia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4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Textopatrenia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2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</w:tr>
    </w:tbl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Informácia o organizáciách v zriaďovateľskej pôsobnosti účtovnej jednotky.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Organizácia nie je zriaďovateľom žiadnej inej účtovnej jednotky. </w:t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Údaje podľa čl. I, III a IV  sa uvádzajú v textovej podobe a tabuľkovej podobe. 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II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200"/>
        <w:jc w:val="center"/>
        <w:outlineLvl w:val="1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účtovných zásadách a účtovných metódach</w:t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Informácia, či je účtovná závierka zostavená za splnenia predpokladu, že účtovná jednotka bude nepretržite pokračovať vo svojej činnosti.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Účtovná jednotka predpokladá pokračovať vo svojej činnosti aj v nasledujúcom účtovnom období.</w:t>
        <w:tab/>
        <w:t xml:space="preserve">  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V súvislosti s vojnovým konfliktom na Ukrajine vedenie Organizácie urobilo analýzu možných účinkov a následkov na Organizáciu a dospelo k názoru, že v súčasnosti nemajú významné nepriaznivé dopady na Organizáciu (okrem rastúcich cien vstupov, najmä pohonných hmôt, energií, materiálov, tovarov a služieb). Vedenie Organizácie nepredpokladá významné ohrozenie predpokladu nepretržitého pokračovania v činnosti v blízkej budúcnosti (t.j. počas nasledujúcich 12 mesiacov od dátumu zostavenia UZ).</w:t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tbl>
      <w:tblPr>
        <w:tblW w:w="4800" w:type="pct"/>
        <w:jc w:val="left"/>
        <w:tblInd w:w="28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745"/>
        <w:gridCol w:w="3164"/>
        <w:gridCol w:w="3669"/>
      </w:tblGrid>
      <w:tr>
        <w:trPr>
          <w:trHeight w:val="284" w:hRule="atLeast"/>
        </w:trPr>
        <w:tc>
          <w:tcPr>
            <w:tcW w:w="2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3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3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>
        <w:trPr>
          <w:trHeight w:val="284" w:hRule="atLeast"/>
        </w:trPr>
        <w:tc>
          <w:tcPr>
            <w:tcW w:w="2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Nenastali</w:t>
            </w:r>
          </w:p>
        </w:tc>
        <w:tc>
          <w:tcPr>
            <w:tcW w:w="3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</w:r>
          </w:p>
        </w:tc>
        <w:tc>
          <w:tcPr>
            <w:tcW w:w="3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Spôsob oceňovania jednotlivých položiek majetku a záväzkov v členení na</w:t>
      </w:r>
    </w:p>
    <w:tbl>
      <w:tblPr>
        <w:tblW w:w="9802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6294"/>
        <w:gridCol w:w="3507"/>
      </w:tblGrid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Majetok a záväzky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Spôsob oceňovania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neboli vytvorené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neboli obstarané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deriváty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netýka sa 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Spôsob zostavenia odpisového plánu pre jednotlivé druhy dlhodobého hmotného majetku  a dlhodobého nehmotného majetku, pričom sa uvádza doba odpisovania, použité sadzby odpisov a odpisové metódy pri určení účtovných odpisov. </w:t>
      </w:r>
    </w:p>
    <w:tbl>
      <w:tblPr>
        <w:tblW w:w="4800" w:type="pct"/>
        <w:jc w:val="left"/>
        <w:tblInd w:w="28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1953"/>
        <w:gridCol w:w="2380"/>
        <w:gridCol w:w="2380"/>
        <w:gridCol w:w="2864"/>
      </w:tblGrid>
      <w:tr>
        <w:trPr>
          <w:trHeight w:val="284" w:hRule="atLeast"/>
        </w:trPr>
        <w:tc>
          <w:tcPr>
            <w:tcW w:w="19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2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2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2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Odpisová metóda</w:t>
            </w:r>
          </w:p>
        </w:tc>
      </w:tr>
      <w:tr>
        <w:trPr>
          <w:trHeight w:val="284" w:hRule="atLeast"/>
        </w:trPr>
        <w:tc>
          <w:tcPr>
            <w:tcW w:w="19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Software</w:t>
            </w:r>
          </w:p>
        </w:tc>
        <w:tc>
          <w:tcPr>
            <w:tcW w:w="2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3</w:t>
            </w:r>
          </w:p>
        </w:tc>
        <w:tc>
          <w:tcPr>
            <w:tcW w:w="2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33,33%</w:t>
            </w:r>
          </w:p>
        </w:tc>
        <w:tc>
          <w:tcPr>
            <w:tcW w:w="2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rovnomerný odpis</w:t>
            </w:r>
          </w:p>
        </w:tc>
      </w:tr>
      <w:tr>
        <w:trPr>
          <w:trHeight w:val="284" w:hRule="atLeast"/>
        </w:trPr>
        <w:tc>
          <w:tcPr>
            <w:tcW w:w="19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Počítače, notebooky, tlačiarne</w:t>
            </w:r>
          </w:p>
        </w:tc>
        <w:tc>
          <w:tcPr>
            <w:tcW w:w="2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4</w:t>
            </w:r>
          </w:p>
        </w:tc>
        <w:tc>
          <w:tcPr>
            <w:tcW w:w="2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25%</w:t>
            </w:r>
          </w:p>
        </w:tc>
        <w:tc>
          <w:tcPr>
            <w:tcW w:w="2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rovnomerný odpis</w:t>
            </w:r>
          </w:p>
        </w:tc>
      </w:tr>
      <w:tr>
        <w:trPr>
          <w:trHeight w:val="284" w:hRule="atLeast"/>
        </w:trPr>
        <w:tc>
          <w:tcPr>
            <w:tcW w:w="19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Dopravné prostriedky</w:t>
            </w:r>
          </w:p>
        </w:tc>
        <w:tc>
          <w:tcPr>
            <w:tcW w:w="2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4</w:t>
            </w:r>
          </w:p>
        </w:tc>
        <w:tc>
          <w:tcPr>
            <w:tcW w:w="2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25%</w:t>
            </w:r>
          </w:p>
        </w:tc>
        <w:tc>
          <w:tcPr>
            <w:tcW w:w="2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rovnomerný odpis</w:t>
            </w:r>
          </w:p>
        </w:tc>
      </w:tr>
      <w:tr>
        <w:trPr>
          <w:trHeight w:val="284" w:hRule="atLeast"/>
        </w:trPr>
        <w:tc>
          <w:tcPr>
            <w:tcW w:w="19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Snoezelen miestnosť a vypaľovacia pec</w:t>
            </w:r>
          </w:p>
        </w:tc>
        <w:tc>
          <w:tcPr>
            <w:tcW w:w="2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6</w:t>
            </w:r>
          </w:p>
        </w:tc>
        <w:tc>
          <w:tcPr>
            <w:tcW w:w="2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16,67%</w:t>
            </w:r>
          </w:p>
        </w:tc>
        <w:tc>
          <w:tcPr>
            <w:tcW w:w="2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rovnomerný odpis</w:t>
            </w:r>
          </w:p>
        </w:tc>
      </w:tr>
      <w:tr>
        <w:trPr>
          <w:trHeight w:val="284" w:hRule="atLeast"/>
        </w:trPr>
        <w:tc>
          <w:tcPr>
            <w:tcW w:w="19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Stavby</w:t>
            </w:r>
          </w:p>
        </w:tc>
        <w:tc>
          <w:tcPr>
            <w:tcW w:w="2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20</w:t>
            </w:r>
          </w:p>
        </w:tc>
        <w:tc>
          <w:tcPr>
            <w:tcW w:w="2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5%</w:t>
            </w:r>
          </w:p>
        </w:tc>
        <w:tc>
          <w:tcPr>
            <w:tcW w:w="2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rovnomerný odpis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Zásady pre zohľadnenie zníženia hodnoty majetku – účtovná jednotka uplatňuje: </w:t>
      </w:r>
    </w:p>
    <w:tbl>
      <w:tblPr>
        <w:tblW w:w="9781" w:type="dxa"/>
        <w:jc w:val="left"/>
        <w:tblInd w:w="32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366"/>
        <w:gridCol w:w="5414"/>
      </w:tblGrid>
      <w:tr>
        <w:trPr>
          <w:trHeight w:val="284" w:hRule="atLeast"/>
        </w:trPr>
        <w:tc>
          <w:tcPr>
            <w:tcW w:w="4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5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Rezervy</w:t>
            </w:r>
          </w:p>
        </w:tc>
      </w:tr>
      <w:tr>
        <w:trPr>
          <w:trHeight w:val="284" w:hRule="atLeast"/>
        </w:trPr>
        <w:tc>
          <w:tcPr>
            <w:tcW w:w="4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nie </w:t>
            </w:r>
          </w:p>
        </w:tc>
        <w:tc>
          <w:tcPr>
            <w:tcW w:w="5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ano</w:t>
            </w:r>
          </w:p>
        </w:tc>
      </w:tr>
    </w:tbl>
    <w:p>
      <w:pPr>
        <w:pStyle w:val="Normal"/>
        <w:spacing w:lineRule="auto" w:line="240" w:before="0" w:after="12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III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dopĺňajú a vysvetľujú údaje v súvahe</w:t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dlhodobom nehmotnom majetku a dlhodobom hmotnom majetku za bežné účtovné obdobie: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  o stave a pohybe dlhodobého nehmotného majetku a dlhodobého hmotného majetku: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č. 1</w:t>
      </w:r>
    </w:p>
    <w:tbl>
      <w:tblPr>
        <w:tblW w:w="5000" w:type="pct"/>
        <w:jc w:val="left"/>
        <w:tblInd w:w="-1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-5" w:type="dxa"/>
          <w:bottom w:w="0" w:type="dxa"/>
          <w:right w:w="70" w:type="dxa"/>
        </w:tblCellMar>
        <w:tblLook w:firstRow="1" w:noVBand="0" w:lastRow="0" w:firstColumn="1" w:lastColumn="0" w:noHBand="0" w:val="00a0"/>
      </w:tblPr>
      <w:tblGrid>
        <w:gridCol w:w="2207"/>
        <w:gridCol w:w="1072"/>
        <w:gridCol w:w="1003"/>
        <w:gridCol w:w="1056"/>
        <w:gridCol w:w="1027"/>
        <w:gridCol w:w="1195"/>
        <w:gridCol w:w="1214"/>
        <w:gridCol w:w="1202"/>
      </w:tblGrid>
      <w:tr>
        <w:trPr>
          <w:trHeight w:val="1224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1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1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1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1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1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>
        <w:trPr>
          <w:trHeight w:val="612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 - stav na začiatku bežného účtovného obdobia</w:t>
            </w:r>
          </w:p>
        </w:tc>
        <w:tc>
          <w:tcPr>
            <w:tcW w:w="1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3 000,00</w:t>
            </w:r>
          </w:p>
        </w:tc>
        <w:tc>
          <w:tcPr>
            <w:tcW w:w="1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3 000,00</w:t>
            </w:r>
          </w:p>
        </w:tc>
      </w:tr>
      <w:tr>
        <w:trPr>
          <w:trHeight w:val="28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1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>
        <w:trPr>
          <w:trHeight w:val="28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1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>
        <w:trPr>
          <w:trHeight w:val="28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3 000,00</w:t>
            </w:r>
          </w:p>
        </w:tc>
        <w:tc>
          <w:tcPr>
            <w:tcW w:w="1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3 000,00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Oprávky – stav na začiatku bežného účtovného obdobia</w:t>
            </w:r>
          </w:p>
        </w:tc>
        <w:tc>
          <w:tcPr>
            <w:tcW w:w="1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2 666,67</w:t>
            </w:r>
          </w:p>
        </w:tc>
        <w:tc>
          <w:tcPr>
            <w:tcW w:w="1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2 666,67</w:t>
            </w:r>
          </w:p>
        </w:tc>
      </w:tr>
      <w:tr>
        <w:trPr>
          <w:trHeight w:val="28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1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333,33</w:t>
            </w:r>
          </w:p>
        </w:tc>
        <w:tc>
          <w:tcPr>
            <w:tcW w:w="1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333,33</w:t>
            </w:r>
          </w:p>
        </w:tc>
      </w:tr>
      <w:tr>
        <w:trPr>
          <w:trHeight w:val="28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1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3 000,00</w:t>
            </w:r>
          </w:p>
        </w:tc>
        <w:tc>
          <w:tcPr>
            <w:tcW w:w="1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3 000,00</w:t>
            </w:r>
          </w:p>
        </w:tc>
      </w:tr>
      <w:tr>
        <w:trPr>
          <w:trHeight w:val="612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 – stav na začiatku bežného účtovného obdobia</w:t>
            </w:r>
          </w:p>
        </w:tc>
        <w:tc>
          <w:tcPr>
            <w:tcW w:w="1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>
        <w:trPr>
          <w:trHeight w:val="28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1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>
        <w:trPr>
          <w:trHeight w:val="28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1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>
        <w:trPr>
          <w:trHeight w:val="288" w:hRule="atLeast"/>
        </w:trPr>
        <w:tc>
          <w:tcPr>
            <w:tcW w:w="9976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333,33</w:t>
            </w:r>
          </w:p>
        </w:tc>
        <w:tc>
          <w:tcPr>
            <w:tcW w:w="1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333,33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</w:tbl>
    <w:p>
      <w:pPr>
        <w:pStyle w:val="Normal"/>
        <w:spacing w:lineRule="auto" w:line="24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</w:p>
    <w:p>
      <w:pPr>
        <w:pStyle w:val="Normal"/>
        <w:spacing w:lineRule="auto" w:line="240" w:before="0" w:after="0"/>
        <w:jc w:val="left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  <w:r>
        <w:br w:type="page"/>
      </w:r>
    </w:p>
    <w:p>
      <w:pPr>
        <w:pStyle w:val="Normal"/>
        <w:spacing w:lineRule="auto" w:line="24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č. 2</w:t>
      </w:r>
    </w:p>
    <w:tbl>
      <w:tblPr>
        <w:tblW w:w="10440" w:type="dxa"/>
        <w:jc w:val="left"/>
        <w:tblInd w:w="-1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-5" w:type="dxa"/>
          <w:bottom w:w="0" w:type="dxa"/>
          <w:right w:w="70" w:type="dxa"/>
        </w:tblCellMar>
        <w:tblLook w:firstRow="1" w:noVBand="0" w:lastRow="0" w:firstColumn="1" w:lastColumn="0" w:noHBand="0" w:val="00a0"/>
      </w:tblPr>
      <w:tblGrid>
        <w:gridCol w:w="1433"/>
        <w:gridCol w:w="659"/>
        <w:gridCol w:w="693"/>
        <w:gridCol w:w="980"/>
        <w:gridCol w:w="939"/>
        <w:gridCol w:w="828"/>
        <w:gridCol w:w="937"/>
        <w:gridCol w:w="701"/>
        <w:gridCol w:w="820"/>
        <w:gridCol w:w="830"/>
        <w:gridCol w:w="779"/>
        <w:gridCol w:w="840"/>
      </w:tblGrid>
      <w:tr>
        <w:trPr>
          <w:trHeight w:val="1020" w:hRule="atLeast"/>
        </w:trPr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Samost. hnuteľné veci a súbory hnut. vecí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Dopravné prostried-ky</w:t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Pestova-teľské celky trvalých porastov</w:t>
            </w: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Obst.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dlhodob. hmotného majetku</w:t>
            </w:r>
          </w:p>
        </w:tc>
        <w:tc>
          <w:tcPr>
            <w:tcW w:w="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Poskyt predd. na dlhodobý hmotný majetok</w:t>
            </w:r>
          </w:p>
        </w:tc>
        <w:tc>
          <w:tcPr>
            <w:tcW w:w="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>
        <w:trPr>
          <w:trHeight w:val="408" w:hRule="atLeast"/>
        </w:trPr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 - stav na začiatku bežného účtovného obdobia</w:t>
            </w:r>
          </w:p>
        </w:tc>
        <w:tc>
          <w:tcPr>
            <w:tcW w:w="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431 238,58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38 098,71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31 137,00</w:t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26 323,14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526 797,43</w:t>
            </w:r>
          </w:p>
        </w:tc>
      </w:tr>
      <w:tr>
        <w:trPr>
          <w:trHeight w:val="288" w:hRule="atLeast"/>
        </w:trPr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5 145,22</w:t>
            </w:r>
          </w:p>
        </w:tc>
        <w:tc>
          <w:tcPr>
            <w:tcW w:w="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5 145,22</w:t>
            </w:r>
          </w:p>
        </w:tc>
      </w:tr>
      <w:tr>
        <w:trPr>
          <w:trHeight w:val="288" w:hRule="atLeast"/>
        </w:trPr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72,98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/>
              <w:t>0,00</w:t>
            </w:r>
          </w:p>
        </w:tc>
        <w:tc>
          <w:tcPr>
            <w:tcW w:w="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72,98</w:t>
            </w:r>
          </w:p>
        </w:tc>
      </w:tr>
      <w:tr>
        <w:trPr>
          <w:trHeight w:val="288" w:hRule="atLeast"/>
        </w:trPr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2 068,80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3 076,42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-5 145,22</w:t>
            </w:r>
          </w:p>
        </w:tc>
        <w:tc>
          <w:tcPr>
            <w:tcW w:w="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>
        <w:trPr>
          <w:trHeight w:val="408" w:hRule="atLeast"/>
        </w:trPr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431 238,58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40 167,51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31 137,00</w:t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29 326,58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531 869,67</w:t>
            </w:r>
          </w:p>
        </w:tc>
      </w:tr>
      <w:tr>
        <w:trPr>
          <w:trHeight w:val="408" w:hRule="atLeast"/>
        </w:trPr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Oprávky – stav na začiatku bežného účtovného obdobia</w:t>
            </w:r>
          </w:p>
        </w:tc>
        <w:tc>
          <w:tcPr>
            <w:tcW w:w="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3 593,65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19 636,91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27 699,50</w:t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25 559,44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76 489,50</w:t>
            </w:r>
          </w:p>
        </w:tc>
      </w:tr>
      <w:tr>
        <w:trPr>
          <w:trHeight w:val="288" w:hRule="atLeast"/>
        </w:trPr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21 561,96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3 566,65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3 437,50</w:t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2 301,92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30 868,03</w:t>
            </w:r>
          </w:p>
        </w:tc>
      </w:tr>
      <w:tr>
        <w:trPr>
          <w:trHeight w:val="288" w:hRule="atLeast"/>
        </w:trPr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72,98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72,98</w:t>
            </w:r>
          </w:p>
        </w:tc>
      </w:tr>
      <w:tr>
        <w:trPr>
          <w:trHeight w:val="408" w:hRule="atLeast"/>
        </w:trPr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25 155,61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23 203,56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31 137,00</w:t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27 788,38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107 284,55</w:t>
            </w:r>
          </w:p>
        </w:tc>
      </w:tr>
      <w:tr>
        <w:trPr>
          <w:trHeight w:val="408" w:hRule="atLeast"/>
        </w:trPr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 – stav na začiatku bežného účtovného obdobia</w:t>
            </w:r>
          </w:p>
        </w:tc>
        <w:tc>
          <w:tcPr>
            <w:tcW w:w="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0,00 </w:t>
            </w:r>
          </w:p>
        </w:tc>
      </w:tr>
      <w:tr>
        <w:trPr>
          <w:trHeight w:val="288" w:hRule="atLeast"/>
        </w:trPr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0,00 </w:t>
            </w:r>
          </w:p>
        </w:tc>
      </w:tr>
      <w:tr>
        <w:trPr>
          <w:trHeight w:val="288" w:hRule="atLeast"/>
        </w:trPr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0,00 </w:t>
            </w:r>
          </w:p>
        </w:tc>
      </w:tr>
      <w:tr>
        <w:trPr>
          <w:trHeight w:val="408" w:hRule="atLeast"/>
        </w:trPr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0,00 </w:t>
            </w:r>
          </w:p>
        </w:tc>
      </w:tr>
      <w:tr>
        <w:trPr>
          <w:trHeight w:val="288" w:hRule="atLeast"/>
        </w:trPr>
        <w:tc>
          <w:tcPr>
            <w:tcW w:w="10439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>
        <w:trPr>
          <w:trHeight w:val="408" w:hRule="atLeast"/>
        </w:trPr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427 644,93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18 461,80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3 437,50</w:t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763,70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450 307,93</w:t>
            </w:r>
          </w:p>
        </w:tc>
      </w:tr>
      <w:tr>
        <w:trPr>
          <w:trHeight w:val="408" w:hRule="atLeast"/>
        </w:trPr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406 082,97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16 963,95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1538,20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424 585,12</w:t>
            </w:r>
          </w:p>
        </w:tc>
      </w:tr>
      <w:tr>
        <w:trPr>
          <w:trHeight w:val="288" w:hRule="atLeast"/>
        </w:trPr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120"/>
        <w:ind w:left="36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dlhodobého majetku, na ktorý je zriadené záložné právo a dlhodobého majetku, pri ktorom má účtovná jednotka obmedzené právo s ním nakladať: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  <w:t xml:space="preserve">Organizácia nedisponuje s dlhodobým majetkom, na ktorý je zriadené záložné právo, resp. pri ktorom má účtovná jednotka obmedzené právo s ním nakladať. 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spôsobe a výške poistenia dlhodobého nehmotného majetku a dlhodobého hmotného majetku.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Organizácia realizuje svoju činnosť v prenajatých priestoroch, poistenie nehnuteľnosti je súčasťou nájomného. </w:t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Organizácia neúčtuje o dlhodobom finančnom majetku. </w:t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Informácia o výške tvorby, zníženia a zúčtovania opravných položiek k dlhodobému finančnému majetku a opis dôvodu ich tvorby, zníženia a zúčtovania.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  <w:t>Organizácia neúčtovala o opravnej položke k dlhodobému finančnému majetku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 významných položkách krátkodobého finančného majetku a  o ocenení krátkodobého finančného majetku  reálnou hodnotou ku dňu, ku ktorému sa zostavuje účtovná závierka, pričom sa uvádza vplyv takéhoto ocenenia na výsledok hospodárenia účtovnej jednotky.</w:t>
      </w:r>
    </w:p>
    <w:p>
      <w:pPr>
        <w:pStyle w:val="Normal"/>
        <w:spacing w:lineRule="auto" w:line="240" w:before="0" w:after="0"/>
        <w:jc w:val="left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  <w:r>
        <w:br w:type="page"/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6  o položkách krátkodobého finančného majetku</w:t>
      </w:r>
    </w:p>
    <w:tbl>
      <w:tblPr>
        <w:tblW w:w="10490" w:type="dxa"/>
        <w:jc w:val="left"/>
        <w:tblInd w:w="-10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191"/>
        <w:gridCol w:w="3453"/>
        <w:gridCol w:w="3846"/>
      </w:tblGrid>
      <w:tr>
        <w:trPr>
          <w:trHeight w:val="284" w:hRule="atLeast"/>
        </w:trPr>
        <w:tc>
          <w:tcPr>
            <w:tcW w:w="3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34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 konci bežného účtovného obdobia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 konci 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3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Pokladnica</w:t>
            </w:r>
          </w:p>
        </w:tc>
        <w:tc>
          <w:tcPr>
            <w:tcW w:w="34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5 852,30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2 656,39</w:t>
            </w:r>
          </w:p>
        </w:tc>
      </w:tr>
      <w:tr>
        <w:trPr>
          <w:trHeight w:val="284" w:hRule="atLeast"/>
        </w:trPr>
        <w:tc>
          <w:tcPr>
            <w:tcW w:w="3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Ceniny</w:t>
            </w:r>
          </w:p>
        </w:tc>
        <w:tc>
          <w:tcPr>
            <w:tcW w:w="34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2 740,80</w:t>
            </w:r>
          </w:p>
        </w:tc>
      </w:tr>
      <w:tr>
        <w:trPr>
          <w:trHeight w:val="284" w:hRule="atLeast"/>
        </w:trPr>
        <w:tc>
          <w:tcPr>
            <w:tcW w:w="3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Bežné bankové účty</w:t>
            </w:r>
          </w:p>
        </w:tc>
        <w:tc>
          <w:tcPr>
            <w:tcW w:w="34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14 187,52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29 247,37</w:t>
            </w:r>
          </w:p>
        </w:tc>
      </w:tr>
      <w:tr>
        <w:trPr>
          <w:trHeight w:val="284" w:hRule="atLeast"/>
        </w:trPr>
        <w:tc>
          <w:tcPr>
            <w:tcW w:w="3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4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3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Peniaze na ceste</w:t>
            </w:r>
          </w:p>
        </w:tc>
        <w:tc>
          <w:tcPr>
            <w:tcW w:w="34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3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4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20 039,82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34 644,56</w:t>
            </w:r>
          </w:p>
        </w:tc>
      </w:tr>
    </w:tbl>
    <w:p>
      <w:pPr>
        <w:pStyle w:val="Normal"/>
        <w:spacing w:lineRule="auto" w:line="240" w:before="0" w:after="0"/>
        <w:rPr>
          <w:i/>
          <w:i/>
          <w:iCs/>
          <w:sz w:val="18"/>
          <w:szCs w:val="18"/>
        </w:rPr>
      </w:pPr>
      <w:r>
        <w:rPr>
          <w:i/>
          <w:iCs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Organizácia nevykazuje zásoby a ani neúčtuje o opravnej položke k zásobám. </w:t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Opis významných pohľadávok v nadväznosti na položky súvahy a v členení na pohľadávky za hlavnú činnosť a podnikateľskú činnosť.</w:t>
      </w:r>
    </w:p>
    <w:tbl>
      <w:tblPr>
        <w:tblW w:w="5000" w:type="pct"/>
        <w:jc w:val="left"/>
        <w:tblInd w:w="-10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188"/>
        <w:gridCol w:w="4481"/>
        <w:gridCol w:w="2309"/>
      </w:tblGrid>
      <w:tr>
        <w:trPr>
          <w:trHeight w:val="284" w:hRule="atLeast"/>
        </w:trPr>
        <w:tc>
          <w:tcPr>
            <w:tcW w:w="3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Významné pohľadávky</w:t>
            </w:r>
          </w:p>
        </w:tc>
        <w:tc>
          <w:tcPr>
            <w:tcW w:w="4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Opis </w:t>
            </w:r>
          </w:p>
        </w:tc>
        <w:tc>
          <w:tcPr>
            <w:tcW w:w="23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3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Poskytnuté preddavky</w:t>
            </w:r>
          </w:p>
        </w:tc>
        <w:tc>
          <w:tcPr>
            <w:tcW w:w="4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Zaplatená kaucia za nebytové priestory na ulici Duklianskych hrdinov</w:t>
            </w:r>
          </w:p>
        </w:tc>
        <w:tc>
          <w:tcPr>
            <w:tcW w:w="23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400,57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Organizácia neúčtovala v priebehu účtovného obdobia o opravných položkách k pohľadávkam. </w:t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 pohľadávok do lehoty splatnosti a po lehote splatnosti.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jc w:val="left"/>
        <w:tblInd w:w="-17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991"/>
        <w:gridCol w:w="2989"/>
        <w:gridCol w:w="2998"/>
      </w:tblGrid>
      <w:tr>
        <w:trPr>
          <w:trHeight w:val="284" w:hRule="atLeast"/>
        </w:trPr>
        <w:tc>
          <w:tcPr>
            <w:tcW w:w="399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9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399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2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4 898,57</w:t>
            </w:r>
          </w:p>
        </w:tc>
        <w:tc>
          <w:tcPr>
            <w:tcW w:w="2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23 433,72</w:t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2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10 260,00</w:t>
            </w:r>
          </w:p>
        </w:tc>
        <w:tc>
          <w:tcPr>
            <w:tcW w:w="2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11 409,20</w:t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2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15 158,57</w:t>
            </w:r>
          </w:p>
        </w:tc>
        <w:tc>
          <w:tcPr>
            <w:tcW w:w="2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34 842,92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významných položiek časového rozlíšenia nákladov budúcich období a príjmov budúcich období.</w:t>
      </w:r>
    </w:p>
    <w:tbl>
      <w:tblPr>
        <w:tblW w:w="5000" w:type="pct"/>
        <w:jc w:val="left"/>
        <w:tblInd w:w="-17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990"/>
        <w:gridCol w:w="4992"/>
        <w:gridCol w:w="1996"/>
      </w:tblGrid>
      <w:tr>
        <w:trPr>
          <w:trHeight w:val="284" w:hRule="atLeast"/>
        </w:trPr>
        <w:tc>
          <w:tcPr>
            <w:tcW w:w="2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4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</w:t>
            </w:r>
          </w:p>
        </w:tc>
        <w:tc>
          <w:tcPr>
            <w:tcW w:w="1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2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Časové rozlíšenie nákladov</w:t>
            </w:r>
          </w:p>
        </w:tc>
        <w:tc>
          <w:tcPr>
            <w:tcW w:w="4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Poistenie áut, doména, Eset licencia,Radiolan,T Com</w:t>
            </w:r>
          </w:p>
        </w:tc>
        <w:tc>
          <w:tcPr>
            <w:tcW w:w="1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647,79</w:t>
            </w:r>
          </w:p>
        </w:tc>
      </w:tr>
      <w:tr>
        <w:trPr>
          <w:trHeight w:val="284" w:hRule="atLeast"/>
        </w:trPr>
        <w:tc>
          <w:tcPr>
            <w:tcW w:w="2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Časové rozlíšenie príjmov</w:t>
            </w:r>
          </w:p>
        </w:tc>
        <w:tc>
          <w:tcPr>
            <w:tcW w:w="4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Vyúčtovanie energií - preplatok</w:t>
            </w:r>
          </w:p>
        </w:tc>
        <w:tc>
          <w:tcPr>
            <w:tcW w:w="1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1 733,50</w:t>
            </w:r>
          </w:p>
        </w:tc>
      </w:tr>
    </w:tbl>
    <w:p>
      <w:pPr>
        <w:pStyle w:val="Normal"/>
        <w:spacing w:lineRule="auto" w:line="240"/>
        <w:ind w:left="36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 xml:space="preserve">Opis a výška zmien vlastných zdrojov krytia neobežného majetku a obežného majetku podľa položiek súvahy za bežné účtovné obdobie, a to </w:t>
      </w:r>
    </w:p>
    <w:p>
      <w:pPr>
        <w:pStyle w:val="Normal"/>
        <w:numPr>
          <w:ilvl w:val="0"/>
          <w:numId w:val="7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>
      <w:pPr>
        <w:pStyle w:val="Normal"/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Nezisková organizácia bola založená 19.12.2006 pod č. OVVS-1930/205/2006-NO peňažným vkladom vo výške 1 000,00 SKK, t.j. 33,19 EUR.</w:t>
      </w:r>
    </w:p>
    <w:p>
      <w:pPr>
        <w:pStyle w:val="Normal"/>
        <w:numPr>
          <w:ilvl w:val="0"/>
          <w:numId w:val="7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opis jednotlivých druhov fondov, ktoré tvorí účtovná jednotka, stav na začiatku bežného účtovného obdobia, prírastky, úbytky, presuny a zostatok na konci bežného účtovného obdobia. </w:t>
      </w:r>
    </w:p>
    <w:p>
      <w:pPr>
        <w:pStyle w:val="Normal"/>
        <w:spacing w:lineRule="auto" w:line="240" w:before="0" w:after="120"/>
        <w:rPr/>
      </w:pPr>
      <w:r>
        <w:rPr>
          <w:sz w:val="18"/>
          <w:szCs w:val="18"/>
        </w:rPr>
        <w:t xml:space="preserve">Organizácia neúčtovala o opravách významných chýb v priebehu účtovného obdobia 2023 </w:t>
      </w:r>
    </w:p>
    <w:p>
      <w:pPr>
        <w:pStyle w:val="Normal"/>
        <w:spacing w:lineRule="auto" w:line="240" w:before="0" w:after="0"/>
        <w:jc w:val="left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  <w:r>
        <w:br w:type="page"/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12 o zmenách vlastných zdrojov krytia neobežného majetku a obežného majetku</w:t>
      </w:r>
      <w:r>
        <w:rPr>
          <w:i/>
          <w:iCs/>
          <w:sz w:val="18"/>
          <w:szCs w:val="18"/>
        </w:rPr>
        <w:t xml:space="preserve">    </w:t>
      </w:r>
    </w:p>
    <w:tbl>
      <w:tblPr>
        <w:tblW w:w="4950" w:type="pct"/>
        <w:jc w:val="left"/>
        <w:tblInd w:w="-17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951"/>
        <w:gridCol w:w="1181"/>
        <w:gridCol w:w="1179"/>
        <w:gridCol w:w="1187"/>
        <w:gridCol w:w="1185"/>
        <w:gridCol w:w="1194"/>
      </w:tblGrid>
      <w:tr>
        <w:trPr>
          <w:trHeight w:val="283" w:hRule="atLeast"/>
        </w:trPr>
        <w:tc>
          <w:tcPr>
            <w:tcW w:w="3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Prírastky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(+)</w:t>
            </w: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Úbytky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(-)</w:t>
            </w:r>
          </w:p>
        </w:tc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Presuny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(+, -)</w:t>
            </w:r>
          </w:p>
        </w:tc>
        <w:tc>
          <w:tcPr>
            <w:tcW w:w="1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3" w:hRule="atLeast"/>
        </w:trPr>
        <w:tc>
          <w:tcPr>
            <w:tcW w:w="9877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</w:rPr>
              <w:t>Imanie a fondy</w:t>
            </w:r>
          </w:p>
        </w:tc>
      </w:tr>
      <w:tr>
        <w:trPr>
          <w:trHeight w:val="283" w:hRule="atLeast"/>
        </w:trPr>
        <w:tc>
          <w:tcPr>
            <w:tcW w:w="3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imanie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39,19</w:t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39,19</w:t>
            </w:r>
          </w:p>
        </w:tc>
      </w:tr>
      <w:tr>
        <w:trPr>
          <w:trHeight w:val="283" w:hRule="atLeast"/>
        </w:trPr>
        <w:tc>
          <w:tcPr>
            <w:tcW w:w="3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 toho: </w:t>
            </w:r>
          </w:p>
          <w:p>
            <w:pPr>
              <w:pStyle w:val="Normal"/>
              <w:numPr>
                <w:ilvl w:val="0"/>
                <w:numId w:val="8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3" w:hRule="atLeast"/>
        </w:trPr>
        <w:tc>
          <w:tcPr>
            <w:tcW w:w="3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numPr>
                <w:ilvl w:val="0"/>
                <w:numId w:val="8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vklady zakladateľov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39,19</w:t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39,19</w:t>
            </w:r>
          </w:p>
        </w:tc>
      </w:tr>
      <w:tr>
        <w:trPr>
          <w:trHeight w:val="283" w:hRule="atLeast"/>
        </w:trPr>
        <w:tc>
          <w:tcPr>
            <w:tcW w:w="3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numPr>
                <w:ilvl w:val="0"/>
                <w:numId w:val="8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prioritný majetok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3" w:hRule="atLeast"/>
        </w:trPr>
        <w:tc>
          <w:tcPr>
            <w:tcW w:w="3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3" w:hRule="atLeast"/>
        </w:trPr>
        <w:tc>
          <w:tcPr>
            <w:tcW w:w="3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 reprodukcie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3" w:hRule="atLeast"/>
        </w:trPr>
        <w:tc>
          <w:tcPr>
            <w:tcW w:w="3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3" w:hRule="atLeast"/>
        </w:trPr>
        <w:tc>
          <w:tcPr>
            <w:tcW w:w="9877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Fondy zo zisku</w:t>
            </w:r>
          </w:p>
        </w:tc>
      </w:tr>
      <w:tr>
        <w:trPr>
          <w:trHeight w:val="283" w:hRule="atLeast"/>
        </w:trPr>
        <w:tc>
          <w:tcPr>
            <w:tcW w:w="3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Rezervný fond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3" w:hRule="atLeast"/>
        </w:trPr>
        <w:tc>
          <w:tcPr>
            <w:tcW w:w="3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zo zisku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3" w:hRule="atLeast"/>
        </w:trPr>
        <w:tc>
          <w:tcPr>
            <w:tcW w:w="3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fondy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3" w:hRule="atLeast"/>
        </w:trPr>
        <w:tc>
          <w:tcPr>
            <w:tcW w:w="3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32 853,21</w:t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-7 139,11</w:t>
            </w:r>
          </w:p>
        </w:tc>
        <w:tc>
          <w:tcPr>
            <w:tcW w:w="1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25 714,10</w:t>
            </w:r>
          </w:p>
        </w:tc>
      </w:tr>
      <w:tr>
        <w:trPr>
          <w:trHeight w:val="283" w:hRule="atLeast"/>
        </w:trPr>
        <w:tc>
          <w:tcPr>
            <w:tcW w:w="3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-7 139,11</w:t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-459,87</w:t>
            </w: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7 139,11</w:t>
            </w:r>
          </w:p>
        </w:tc>
        <w:tc>
          <w:tcPr>
            <w:tcW w:w="1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-459,87</w:t>
            </w:r>
          </w:p>
        </w:tc>
      </w:tr>
      <w:tr>
        <w:trPr>
          <w:trHeight w:val="283" w:hRule="atLeast"/>
        </w:trPr>
        <w:tc>
          <w:tcPr>
            <w:tcW w:w="3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25 753,29</w:t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-459,87</w:t>
            </w: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25 293,42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ind w:left="357" w:hanging="357"/>
        <w:rPr>
          <w:sz w:val="18"/>
          <w:szCs w:val="18"/>
        </w:rPr>
      </w:pPr>
      <w:r>
        <w:rPr>
          <w:sz w:val="18"/>
          <w:szCs w:val="18"/>
        </w:rPr>
        <w:t>Informácia o rozdelení účtovného zisku alebo vysporiadaní účtovnej straty vykázanej v minulých účtovných obdobiach.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13 o rozdelení účtovného zisku alebo vysporiadaní účtovnej straty</w:t>
      </w:r>
    </w:p>
    <w:tbl>
      <w:tblPr>
        <w:tblW w:w="5000" w:type="pct"/>
        <w:jc w:val="left"/>
        <w:tblInd w:w="-17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5653"/>
        <w:gridCol w:w="4324"/>
      </w:tblGrid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Názov položky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Bezprostredne predchádzajúce účtovné obdobie</w:t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16"/>
                <w:szCs w:val="16"/>
              </w:rPr>
              <w:t>-7 139,11</w:t>
            </w:r>
          </w:p>
        </w:tc>
      </w:tr>
      <w:tr>
        <w:trPr>
          <w:trHeight w:val="284" w:hRule="atLeast"/>
        </w:trPr>
        <w:tc>
          <w:tcPr>
            <w:tcW w:w="9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  <w:color w:val="000000"/>
                <w:sz w:val="16"/>
                <w:szCs w:val="16"/>
              </w:rPr>
              <w:t>Rozdelenie účtovnej straty</w:t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f</w:t>
            </w:r>
            <w:r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Prevod  do n</w:t>
            </w:r>
            <w:r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>-7 139,11</w:t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numPr>
          <w:ilvl w:val="0"/>
          <w:numId w:val="5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Opis a výška cudzích zdrojov, a to</w:t>
      </w:r>
    </w:p>
    <w:p>
      <w:pPr>
        <w:pStyle w:val="Normal"/>
        <w:numPr>
          <w:ilvl w:val="0"/>
          <w:numId w:val="9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</w:t>
      </w:r>
    </w:p>
    <w:p>
      <w:pPr>
        <w:pStyle w:val="Normal"/>
        <w:spacing w:lineRule="auto" w:line="240" w:before="0" w:after="0"/>
        <w:jc w:val="left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  <w:r>
        <w:br w:type="page"/>
      </w:r>
    </w:p>
    <w:p>
      <w:pPr>
        <w:pStyle w:val="Normal"/>
        <w:spacing w:lineRule="auto" w:line="240" w:before="0" w:after="120"/>
        <w:ind w:left="360" w:hanging="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14 písm. a) o  tvorbe a použití rezerv</w:t>
      </w:r>
    </w:p>
    <w:tbl>
      <w:tblPr>
        <w:tblW w:w="4900" w:type="pct"/>
        <w:jc w:val="left"/>
        <w:tblInd w:w="-6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906"/>
        <w:gridCol w:w="1407"/>
        <w:gridCol w:w="1404"/>
        <w:gridCol w:w="1403"/>
        <w:gridCol w:w="1278"/>
        <w:gridCol w:w="1379"/>
      </w:tblGrid>
      <w:tr>
        <w:trPr>
          <w:trHeight w:val="284" w:hRule="atLeast"/>
        </w:trPr>
        <w:tc>
          <w:tcPr>
            <w:tcW w:w="2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rezervy</w:t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Tvorba rezerv</w:t>
            </w:r>
          </w:p>
        </w:tc>
        <w:tc>
          <w:tcPr>
            <w:tcW w:w="1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Použitie rezerv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Zrušenie alebo zníženie rezerv</w:t>
            </w:r>
          </w:p>
        </w:tc>
        <w:tc>
          <w:tcPr>
            <w:tcW w:w="1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2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Rezerva na nevyčerpanú dovolenku</w:t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9 227,36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6 023,71</w:t>
            </w:r>
          </w:p>
        </w:tc>
        <w:tc>
          <w:tcPr>
            <w:tcW w:w="1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9 227,36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6 023,71</w:t>
            </w:r>
          </w:p>
        </w:tc>
      </w:tr>
      <w:tr>
        <w:trPr>
          <w:trHeight w:val="284" w:hRule="atLeast"/>
        </w:trPr>
        <w:tc>
          <w:tcPr>
            <w:tcW w:w="2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2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Zákonné rezervy spolu</w:t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9 227,36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6 023,71</w:t>
            </w:r>
          </w:p>
        </w:tc>
        <w:tc>
          <w:tcPr>
            <w:tcW w:w="1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9 227,36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6 023,71</w:t>
            </w:r>
          </w:p>
        </w:tc>
      </w:tr>
      <w:tr>
        <w:trPr>
          <w:trHeight w:val="284" w:hRule="atLeast"/>
        </w:trPr>
        <w:tc>
          <w:tcPr>
            <w:tcW w:w="2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Rezerva na štatutárny audit</w:t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920,00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1 200,00</w:t>
            </w:r>
          </w:p>
        </w:tc>
        <w:tc>
          <w:tcPr>
            <w:tcW w:w="1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920,00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1 200,00</w:t>
            </w:r>
          </w:p>
        </w:tc>
      </w:tr>
      <w:tr>
        <w:trPr>
          <w:trHeight w:val="284" w:hRule="atLeast"/>
        </w:trPr>
        <w:tc>
          <w:tcPr>
            <w:tcW w:w="2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Rezerva UZ</w:t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200,00</w:t>
            </w:r>
          </w:p>
        </w:tc>
        <w:tc>
          <w:tcPr>
            <w:tcW w:w="1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200,00</w:t>
            </w:r>
          </w:p>
        </w:tc>
      </w:tr>
      <w:tr>
        <w:trPr>
          <w:trHeight w:val="284" w:hRule="atLeast"/>
        </w:trPr>
        <w:tc>
          <w:tcPr>
            <w:tcW w:w="2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Ostatné rezervy spolu</w:t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920,00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1 400,00</w:t>
            </w:r>
          </w:p>
        </w:tc>
        <w:tc>
          <w:tcPr>
            <w:tcW w:w="1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920,00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1 400,00</w:t>
            </w:r>
          </w:p>
        </w:tc>
      </w:tr>
      <w:tr>
        <w:trPr>
          <w:trHeight w:val="284" w:hRule="atLeast"/>
        </w:trPr>
        <w:tc>
          <w:tcPr>
            <w:tcW w:w="2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Rezervy spolu</w:t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10 147,36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7 423,71</w:t>
            </w:r>
          </w:p>
        </w:tc>
        <w:tc>
          <w:tcPr>
            <w:tcW w:w="1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10 147,36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7 423,71</w:t>
            </w:r>
          </w:p>
        </w:tc>
      </w:tr>
    </w:tbl>
    <w:p>
      <w:pPr>
        <w:pStyle w:val="Normal"/>
        <w:numPr>
          <w:ilvl w:val="0"/>
          <w:numId w:val="9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údaje o významných položkách na účtoch 325 - Ostatné záväzky a 379 – Iné záväzky; uvádza sa začiatočný stav, prírastky, úbytky a konečný zostatok podľa jednotlivých druhov záväzkov,</w:t>
      </w:r>
    </w:p>
    <w:p>
      <w:pPr>
        <w:pStyle w:val="Normal"/>
        <w:spacing w:lineRule="auto" w:line="240"/>
        <w:rPr/>
      </w:pPr>
      <w:r>
        <w:rPr>
          <w:sz w:val="18"/>
          <w:szCs w:val="18"/>
        </w:rPr>
        <w:t>Organizácia nevykazovala konečný zostatok na účtoch 325 - Ostatné záväzky a 379 – Iné záväzky k 31.12.2023</w:t>
      </w:r>
    </w:p>
    <w:p>
      <w:pPr>
        <w:pStyle w:val="Normal"/>
        <w:numPr>
          <w:ilvl w:val="0"/>
          <w:numId w:val="9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jc w:val="left"/>
        <w:tblInd w:w="-6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991"/>
        <w:gridCol w:w="2989"/>
        <w:gridCol w:w="2998"/>
      </w:tblGrid>
      <w:tr>
        <w:trPr>
          <w:trHeight w:val="284" w:hRule="atLeast"/>
        </w:trPr>
        <w:tc>
          <w:tcPr>
            <w:tcW w:w="399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9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399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do lehoty splatnosti</w:t>
            </w:r>
          </w:p>
        </w:tc>
        <w:tc>
          <w:tcPr>
            <w:tcW w:w="2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9 438,34</w:t>
            </w:r>
          </w:p>
        </w:tc>
        <w:tc>
          <w:tcPr>
            <w:tcW w:w="2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37 349,92</w:t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2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1 158,75</w:t>
            </w:r>
          </w:p>
        </w:tc>
        <w:tc>
          <w:tcPr>
            <w:tcW w:w="2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239,27</w:t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Záväzky spolu</w:t>
            </w:r>
          </w:p>
        </w:tc>
        <w:tc>
          <w:tcPr>
            <w:tcW w:w="2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10 597,09</w:t>
            </w:r>
          </w:p>
        </w:tc>
        <w:tc>
          <w:tcPr>
            <w:tcW w:w="2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37 589,19</w:t>
            </w:r>
          </w:p>
        </w:tc>
      </w:tr>
    </w:tbl>
    <w:p>
      <w:pPr>
        <w:pStyle w:val="Normal"/>
        <w:spacing w:lineRule="auto" w:line="240" w:before="0" w:after="0"/>
        <w:ind w:left="363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9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 xml:space="preserve">prehľad o výške záväzkov podľa zostatkovej doby splatnosti v členení podľa položiek súvahy </w:t>
      </w:r>
    </w:p>
    <w:p>
      <w:pPr>
        <w:pStyle w:val="Normal"/>
        <w:numPr>
          <w:ilvl w:val="2"/>
          <w:numId w:val="4"/>
        </w:numPr>
        <w:spacing w:lineRule="auto" w:line="240" w:before="0" w:after="0"/>
        <w:ind w:left="1080" w:hanging="357"/>
        <w:rPr>
          <w:sz w:val="18"/>
          <w:szCs w:val="18"/>
        </w:rPr>
      </w:pPr>
      <w:r>
        <w:rPr>
          <w:sz w:val="18"/>
          <w:szCs w:val="18"/>
        </w:rPr>
        <w:t>do jedného roka vrátane,</w:t>
      </w:r>
    </w:p>
    <w:p>
      <w:pPr>
        <w:pStyle w:val="Normal"/>
        <w:numPr>
          <w:ilvl w:val="2"/>
          <w:numId w:val="4"/>
        </w:numPr>
        <w:spacing w:lineRule="auto" w:line="240" w:before="0" w:after="0"/>
        <w:ind w:left="1080" w:hanging="357"/>
        <w:rPr>
          <w:sz w:val="18"/>
          <w:szCs w:val="18"/>
        </w:rPr>
      </w:pPr>
      <w:r>
        <w:rPr>
          <w:sz w:val="18"/>
          <w:szCs w:val="18"/>
        </w:rPr>
        <w:t>od jedného roka do piatich rokov vrátane,</w:t>
      </w:r>
    </w:p>
    <w:p>
      <w:pPr>
        <w:pStyle w:val="Normal"/>
        <w:numPr>
          <w:ilvl w:val="2"/>
          <w:numId w:val="4"/>
        </w:numPr>
        <w:spacing w:lineRule="auto" w:line="240" w:before="0" w:after="0"/>
        <w:ind w:left="1077" w:hanging="357"/>
        <w:rPr>
          <w:sz w:val="18"/>
          <w:szCs w:val="18"/>
        </w:rPr>
      </w:pPr>
      <w:r>
        <w:rPr>
          <w:sz w:val="18"/>
          <w:szCs w:val="18"/>
        </w:rPr>
        <w:t>viac ako päť rokov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120"/>
        <w:ind w:left="360" w:hanging="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14 písm. c) a d) o záväzkoch</w:t>
      </w:r>
    </w:p>
    <w:tbl>
      <w:tblPr>
        <w:tblW w:w="5000" w:type="pct"/>
        <w:jc w:val="left"/>
        <w:tblInd w:w="-6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979"/>
        <w:gridCol w:w="2497"/>
        <w:gridCol w:w="2502"/>
      </w:tblGrid>
      <w:tr>
        <w:trPr>
          <w:trHeight w:val="284" w:hRule="atLeast"/>
        </w:trPr>
        <w:tc>
          <w:tcPr>
            <w:tcW w:w="497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záväzkov</w:t>
            </w:r>
          </w:p>
        </w:tc>
        <w:tc>
          <w:tcPr>
            <w:tcW w:w="499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497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4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1 158,75</w:t>
            </w:r>
          </w:p>
        </w:tc>
        <w:tc>
          <w:tcPr>
            <w:tcW w:w="2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239,27</w:t>
            </w:r>
          </w:p>
        </w:tc>
      </w:tr>
      <w:tr>
        <w:trPr>
          <w:trHeight w:val="284" w:hRule="atLeast"/>
        </w:trPr>
        <w:tc>
          <w:tcPr>
            <w:tcW w:w="4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6 581,51</w:t>
            </w:r>
          </w:p>
        </w:tc>
        <w:tc>
          <w:tcPr>
            <w:tcW w:w="2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35 432,47</w:t>
            </w:r>
          </w:p>
        </w:tc>
      </w:tr>
      <w:tr>
        <w:trPr>
          <w:trHeight w:val="284" w:hRule="atLeast"/>
        </w:trPr>
        <w:tc>
          <w:tcPr>
            <w:tcW w:w="4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  <w:lang w:eastAsia="sk-SK"/>
              </w:rPr>
              <w:t>7 740,26</w:t>
            </w:r>
          </w:p>
        </w:tc>
        <w:tc>
          <w:tcPr>
            <w:tcW w:w="2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  <w:lang w:eastAsia="sk-SK"/>
              </w:rPr>
              <w:t>35 671,74</w:t>
            </w:r>
          </w:p>
        </w:tc>
      </w:tr>
      <w:tr>
        <w:trPr>
          <w:trHeight w:val="284" w:hRule="atLeast"/>
        </w:trPr>
        <w:tc>
          <w:tcPr>
            <w:tcW w:w="4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2 856,83</w:t>
            </w:r>
          </w:p>
        </w:tc>
        <w:tc>
          <w:tcPr>
            <w:tcW w:w="2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1 917,45</w:t>
            </w:r>
          </w:p>
        </w:tc>
      </w:tr>
      <w:tr>
        <w:trPr>
          <w:trHeight w:val="284" w:hRule="atLeast"/>
        </w:trPr>
        <w:tc>
          <w:tcPr>
            <w:tcW w:w="4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4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2 856,83</w:t>
            </w:r>
          </w:p>
        </w:tc>
        <w:tc>
          <w:tcPr>
            <w:tcW w:w="2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1 917,45</w:t>
            </w:r>
          </w:p>
        </w:tc>
      </w:tr>
      <w:tr>
        <w:trPr>
          <w:trHeight w:val="284" w:hRule="atLeast"/>
        </w:trPr>
        <w:tc>
          <w:tcPr>
            <w:tcW w:w="4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Krátkodobé a dlhodobé záväzky spolu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10 597,09</w:t>
            </w:r>
          </w:p>
        </w:tc>
        <w:tc>
          <w:tcPr>
            <w:tcW w:w="2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37 589,19</w:t>
            </w:r>
          </w:p>
        </w:tc>
      </w:tr>
    </w:tbl>
    <w:p>
      <w:pPr>
        <w:pStyle w:val="Normal"/>
        <w:numPr>
          <w:ilvl w:val="0"/>
          <w:numId w:val="9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>
      <w:pPr>
        <w:pStyle w:val="Normal"/>
        <w:spacing w:lineRule="auto" w:line="240" w:before="0" w:after="120"/>
        <w:ind w:left="360" w:hanging="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14 písm. e) o vývoji sociálneho fondu</w:t>
      </w:r>
    </w:p>
    <w:tbl>
      <w:tblPr>
        <w:tblW w:w="5000" w:type="pct"/>
        <w:jc w:val="left"/>
        <w:tblInd w:w="-6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716"/>
        <w:gridCol w:w="3147"/>
        <w:gridCol w:w="3115"/>
      </w:tblGrid>
      <w:tr>
        <w:trPr>
          <w:trHeight w:val="284" w:hRule="atLeast"/>
        </w:trPr>
        <w:tc>
          <w:tcPr>
            <w:tcW w:w="3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Sociálny fond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3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>
        <w:trPr>
          <w:trHeight w:val="284" w:hRule="atLeast"/>
        </w:trPr>
        <w:tc>
          <w:tcPr>
            <w:tcW w:w="3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k prvému dňu účtovného obdobia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1 917,45</w:t>
            </w:r>
          </w:p>
        </w:tc>
        <w:tc>
          <w:tcPr>
            <w:tcW w:w="3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1 020,11</w:t>
            </w:r>
          </w:p>
        </w:tc>
      </w:tr>
      <w:tr>
        <w:trPr>
          <w:trHeight w:val="298" w:hRule="atLeast"/>
        </w:trPr>
        <w:tc>
          <w:tcPr>
            <w:tcW w:w="3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Tvorba na ťarchu nákladov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939,38</w:t>
            </w:r>
          </w:p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897,34</w:t>
            </w:r>
          </w:p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Tvorba zo zisku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3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Čerpanie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3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2 856,83</w:t>
            </w:r>
          </w:p>
        </w:tc>
        <w:tc>
          <w:tcPr>
            <w:tcW w:w="3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1 917,45</w:t>
            </w:r>
          </w:p>
        </w:tc>
      </w:tr>
    </w:tbl>
    <w:p>
      <w:pPr>
        <w:pStyle w:val="Normal"/>
        <w:numPr>
          <w:ilvl w:val="0"/>
          <w:numId w:val="9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>
      <w:pPr>
        <w:pStyle w:val="Normal"/>
        <w:spacing w:lineRule="auto" w:line="240" w:before="0" w:after="120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Účtovná jednotka neeviduje prijaté bankové úvery, pôžičky ani iné výpomoci. </w:t>
      </w:r>
    </w:p>
    <w:p>
      <w:pPr>
        <w:pStyle w:val="Normal"/>
        <w:numPr>
          <w:ilvl w:val="0"/>
          <w:numId w:val="9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o významných položkách časového rozlíšenia výdavkov budúcich období.</w:t>
      </w:r>
    </w:p>
    <w:p>
      <w:pPr>
        <w:pStyle w:val="Normal"/>
        <w:spacing w:lineRule="auto" w:line="240" w:before="0" w:after="120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Účtovná jednotka neeviduje </w:t>
      </w:r>
      <w:r>
        <w:rPr>
          <w:sz w:val="18"/>
          <w:szCs w:val="18"/>
        </w:rPr>
        <w:t>významné položky časového rozlíšenia výdavkov budúcich období</w:t>
      </w:r>
      <w:r>
        <w:rPr>
          <w:bCs/>
          <w:iCs/>
          <w:sz w:val="18"/>
          <w:szCs w:val="18"/>
        </w:rPr>
        <w:t xml:space="preserve">. </w:t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o významných položkách výnosov budúcich období v členení najmä na</w:t>
      </w:r>
    </w:p>
    <w:p>
      <w:pPr>
        <w:pStyle w:val="Normal"/>
        <w:numPr>
          <w:ilvl w:val="0"/>
          <w:numId w:val="10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zostatkovú hodnotu bezodplatne nadobudnutého dlhodobého majetku,</w:t>
      </w:r>
    </w:p>
    <w:p>
      <w:pPr>
        <w:pStyle w:val="Normal"/>
        <w:numPr>
          <w:ilvl w:val="0"/>
          <w:numId w:val="10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zostatkovú hodnotu dlhodobého majetku obstaraného z dotácie,</w:t>
      </w:r>
    </w:p>
    <w:p>
      <w:pPr>
        <w:pStyle w:val="Normal"/>
        <w:numPr>
          <w:ilvl w:val="0"/>
          <w:numId w:val="10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zostatok nepoužitej dotácie alebo grantu,</w:t>
      </w:r>
    </w:p>
    <w:p>
      <w:pPr>
        <w:pStyle w:val="Normal"/>
        <w:numPr>
          <w:ilvl w:val="0"/>
          <w:numId w:val="10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zostatok nepoužitej časti podielu zaplatenej dane,</w:t>
      </w:r>
    </w:p>
    <w:p>
      <w:pPr>
        <w:pStyle w:val="Normal"/>
        <w:numPr>
          <w:ilvl w:val="0"/>
          <w:numId w:val="10"/>
        </w:numPr>
        <w:spacing w:lineRule="auto" w:line="240" w:before="0" w:after="120"/>
        <w:ind w:left="714" w:hanging="357"/>
        <w:rPr>
          <w:sz w:val="18"/>
          <w:szCs w:val="18"/>
        </w:rPr>
      </w:pPr>
      <w:r>
        <w:rPr>
          <w:sz w:val="18"/>
          <w:szCs w:val="18"/>
        </w:rPr>
        <w:t>zostatkovú hodnotu dlhodobého majetku obstaraného z podielu zaplatenej dane.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15 o významných položkách výnosov budúcich období</w:t>
      </w:r>
    </w:p>
    <w:tbl>
      <w:tblPr>
        <w:tblW w:w="10382" w:type="dxa"/>
        <w:jc w:val="left"/>
        <w:tblInd w:w="-6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173"/>
        <w:gridCol w:w="1550"/>
        <w:gridCol w:w="1550"/>
        <w:gridCol w:w="1550"/>
        <w:gridCol w:w="1559"/>
      </w:tblGrid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444 943,97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26 093,39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418 850,58</w:t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Grantu z Nadácie Pontis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333,33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333,33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2 120,33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2 120,33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</w:tr>
    </w:tbl>
    <w:p>
      <w:pPr>
        <w:pStyle w:val="Normal"/>
        <w:spacing w:lineRule="auto" w:line="240" w:before="0" w:after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numPr>
          <w:ilvl w:val="0"/>
          <w:numId w:val="5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Údaje o majetku prenajatom formou finančného prenájmu, a to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Organizácia nemá prenajatý dlhodobý finančný majetok formou finančného lízingu. 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</w:rPr>
      </w:pPr>
      <w:r>
        <w:rPr>
          <w:b/>
          <w:bCs/>
        </w:rPr>
        <w:t>Čl. IV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</w:rPr>
      </w:pPr>
      <w:r>
        <w:rPr>
          <w:b/>
          <w:bCs/>
        </w:rPr>
        <w:t>Informácie, ktoré dopĺňajú a vysvetľujú údaje vo výkaze ziskov a strát</w:t>
      </w:r>
    </w:p>
    <w:p>
      <w:pPr>
        <w:pStyle w:val="Normal"/>
        <w:numPr>
          <w:ilvl w:val="0"/>
          <w:numId w:val="11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tbl>
      <w:tblPr>
        <w:tblW w:w="5000" w:type="pct"/>
        <w:jc w:val="right"/>
        <w:tblInd w:w="0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top w:w="0" w:type="dxa"/>
          <w:left w:w="-7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4026"/>
        <w:gridCol w:w="2974"/>
        <w:gridCol w:w="2978"/>
      </w:tblGrid>
      <w:tr>
        <w:trPr>
          <w:trHeight w:val="284" w:hRule="atLeast"/>
        </w:trPr>
        <w:tc>
          <w:tcPr>
            <w:tcW w:w="4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adpis3"/>
              <w:spacing w:before="0" w:after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Prehľad tržieb za vlastné výkony, služby a tovar spolu, z toho:</w:t>
            </w:r>
          </w:p>
        </w:tc>
        <w:tc>
          <w:tcPr>
            <w:tcW w:w="2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2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Podnikateľská činnosť</w:t>
            </w:r>
          </w:p>
        </w:tc>
      </w:tr>
      <w:tr>
        <w:trPr>
          <w:trHeight w:val="284" w:hRule="atLeast"/>
        </w:trPr>
        <w:tc>
          <w:tcPr>
            <w:tcW w:w="4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36 793,01</w:t>
            </w:r>
          </w:p>
        </w:tc>
        <w:tc>
          <w:tcPr>
            <w:tcW w:w="2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>36 793,01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1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 xml:space="preserve">Opis a vyčíslenie hodnoty významných položiek prijatých darov, osobitných výnosov, zákonných poplatkov a iných ostatných výnosov. </w:t>
      </w:r>
    </w:p>
    <w:tbl>
      <w:tblPr>
        <w:tblW w:w="4900" w:type="pct"/>
        <w:jc w:val="left"/>
        <w:tblInd w:w="-6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Sponzorské príspevky, príspevky na činnosť od FO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>13 541,80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1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 dotácií a grantov, ktoré účtovná jednotka prijala v priebehu bežného účtovného obdobia.</w:t>
      </w:r>
    </w:p>
    <w:tbl>
      <w:tblPr>
        <w:tblW w:w="4900" w:type="pct"/>
        <w:jc w:val="left"/>
        <w:tblInd w:w="-6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Prehľad dotácií a grantov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Ministerstvo práce, sociálnych vecí a rodiny Slovenskej republiky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181 967,65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Bratislavský samosprávny kraj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79 386,25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Úrad práce, sociálnych vecí a rodiny SR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37 466,90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Nadácia Pontis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333,33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Mesto Malacky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5 574,71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Trnavský samosprávny kraj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5 109,55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IROP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26 093,39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1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Opis a suma významných položiek finančných výnosov; uvádza sa aj celková suma kurzových ziskov, pričom  osobitne sa uvádza hodnota kurzových ziskov účtovaná ku dňu, ku ktorému sa zostavuje účtovná závierka.</w:t>
      </w:r>
    </w:p>
    <w:p>
      <w:pPr>
        <w:pStyle w:val="Normal"/>
        <w:spacing w:lineRule="auto" w:line="240" w:before="0" w:after="0"/>
        <w:ind w:left="3" w:hanging="0"/>
        <w:rPr>
          <w:sz w:val="18"/>
          <w:szCs w:val="18"/>
        </w:rPr>
      </w:pPr>
      <w:r>
        <w:rPr>
          <w:sz w:val="18"/>
          <w:szCs w:val="18"/>
        </w:rPr>
        <w:t xml:space="preserve">Organizácia nevykazuje významné položky finančných výnosov. </w:t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1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 xml:space="preserve">Opis a vyčíslenie hodnoty významných položiek nákladov, nákladov na ostatné služby, osobitných nákladov a iných ostatných nákladov. </w:t>
      </w:r>
    </w:p>
    <w:tbl>
      <w:tblPr>
        <w:tblW w:w="4900" w:type="pct"/>
        <w:jc w:val="left"/>
        <w:tblInd w:w="-6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významných nákladov, nákladov na ostatné služby, osobitné náklady a iné ostatné náklady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Spotreba materiálu do chránenej dielne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2 986,02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Nákup drobného majetku a iné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5 299,03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i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Spotreba materiálu celkom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i/>
                <w:iCs/>
                <w:sz w:val="16"/>
                <w:szCs w:val="16"/>
              </w:rPr>
              <w:t>8 285,05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i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Spotreba energií celkom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i/>
                <w:iCs/>
                <w:sz w:val="16"/>
                <w:szCs w:val="16"/>
              </w:rPr>
              <w:t>8 527,72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Prenájom priestorov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17 186,70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Školenia a cvičenia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6 624,30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Účtovníctvo a audit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5 430,00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Iné služby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19 515,37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i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Ostatné služby celkom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i/>
                <w:iCs/>
                <w:sz w:val="16"/>
                <w:szCs w:val="16"/>
              </w:rPr>
              <w:t>48 756,37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i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Personálne náklady celkom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i/>
                <w:iCs/>
                <w:sz w:val="16"/>
                <w:szCs w:val="16"/>
              </w:rPr>
              <w:t>281 023,18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Odpisy hmotného a nehmotného majetku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31 201,36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i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Iné poplatky a náklady celkom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i/>
                <w:iCs/>
                <w:sz w:val="16"/>
                <w:szCs w:val="16"/>
              </w:rPr>
              <w:t>1 872,55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1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o účele a výške použitia podielu zaplatenej dane za bežné účtovné obdobie.</w:t>
      </w:r>
    </w:p>
    <w:p>
      <w:pPr>
        <w:pStyle w:val="Normal"/>
        <w:spacing w:lineRule="auto" w:line="240" w:before="0" w:after="120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Tabuľka k čl. IV  ods. 6 o účele a výške použitia podielu zaplatenej dane    </w:t>
      </w:r>
    </w:p>
    <w:tbl>
      <w:tblPr>
        <w:tblW w:w="4900" w:type="pct"/>
        <w:jc w:val="left"/>
        <w:tblInd w:w="-6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800"/>
        <w:gridCol w:w="2731"/>
        <w:gridCol w:w="2247"/>
      </w:tblGrid>
      <w:tr>
        <w:trPr>
          <w:trHeight w:val="284" w:hRule="atLeast"/>
        </w:trPr>
        <w:tc>
          <w:tcPr>
            <w:tcW w:w="4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Účel použitia podielu zaplatenej dane</w:t>
            </w:r>
          </w:p>
        </w:tc>
        <w:tc>
          <w:tcPr>
            <w:tcW w:w="2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2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Použitá suma bežného účtovného obdobia</w:t>
            </w:r>
          </w:p>
        </w:tc>
      </w:tr>
      <w:tr>
        <w:trPr>
          <w:trHeight w:val="284" w:hRule="atLeast"/>
        </w:trPr>
        <w:tc>
          <w:tcPr>
            <w:tcW w:w="4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14 477,08</w:t>
            </w:r>
          </w:p>
        </w:tc>
      </w:tr>
      <w:tr>
        <w:trPr>
          <w:trHeight w:val="284" w:hRule="atLeast"/>
        </w:trPr>
        <w:tc>
          <w:tcPr>
            <w:tcW w:w="4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75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2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1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Opis a suma významných položiek finančných nákladov; uvádza sa aj celková suma kurzových strát, pričom osobitne sa uvádza hodnota kurzových strát účtovaná ku dňu, ku ktorému sa zostavuje účtovná závierka.</w:t>
      </w:r>
    </w:p>
    <w:p>
      <w:pPr>
        <w:pStyle w:val="Normal"/>
        <w:spacing w:lineRule="auto" w:line="240" w:before="0" w:after="0"/>
        <w:ind w:left="3" w:hanging="0"/>
        <w:rPr>
          <w:sz w:val="18"/>
          <w:szCs w:val="18"/>
        </w:rPr>
      </w:pPr>
      <w:r>
        <w:rPr>
          <w:sz w:val="18"/>
          <w:szCs w:val="18"/>
        </w:rPr>
        <w:t xml:space="preserve">Organizácia nevykazuje významné položky finančných nákladov. </w:t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1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V účtovnej jednotke, ktorá má povinnosť overenia účtovnej závierky audítorom, sa uvedie vymedzenie a suma nákladov za účtovné obdobie v členení na náklady za</w:t>
      </w:r>
    </w:p>
    <w:p>
      <w:pPr>
        <w:pStyle w:val="Normal"/>
        <w:numPr>
          <w:ilvl w:val="0"/>
          <w:numId w:val="12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overenie účtovnej závierky,</w:t>
      </w:r>
    </w:p>
    <w:p>
      <w:pPr>
        <w:pStyle w:val="Normal"/>
        <w:numPr>
          <w:ilvl w:val="0"/>
          <w:numId w:val="12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uisťovacie audítorské služby s výnimkou overenia účtovnej závierky,</w:t>
      </w:r>
    </w:p>
    <w:p>
      <w:pPr>
        <w:pStyle w:val="Normal"/>
        <w:numPr>
          <w:ilvl w:val="0"/>
          <w:numId w:val="12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súvisiace audítorské služby,</w:t>
      </w:r>
    </w:p>
    <w:p>
      <w:pPr>
        <w:pStyle w:val="Normal"/>
        <w:numPr>
          <w:ilvl w:val="0"/>
          <w:numId w:val="12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daňové poradenstvo,</w:t>
      </w:r>
    </w:p>
    <w:p>
      <w:pPr>
        <w:pStyle w:val="Normal"/>
        <w:numPr>
          <w:ilvl w:val="0"/>
          <w:numId w:val="12"/>
        </w:numPr>
        <w:spacing w:lineRule="auto" w:line="240" w:before="0" w:after="120"/>
        <w:ind w:left="720" w:hanging="357"/>
        <w:rPr>
          <w:sz w:val="18"/>
          <w:szCs w:val="18"/>
        </w:rPr>
      </w:pPr>
      <w:r>
        <w:rPr>
          <w:sz w:val="18"/>
          <w:szCs w:val="18"/>
        </w:rPr>
        <w:t>ostatné neaudítorské služby.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IV  ods. 8 o nákladoch vynaložených v súvislosti s auditom účtovnej závierky</w:t>
      </w:r>
    </w:p>
    <w:tbl>
      <w:tblPr>
        <w:tblW w:w="4900" w:type="pct"/>
        <w:jc w:val="left"/>
        <w:tblInd w:w="-6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608"/>
        <w:gridCol w:w="3169"/>
      </w:tblGrid>
      <w:tr>
        <w:trPr>
          <w:trHeight w:val="284" w:hRule="atLeast"/>
        </w:trPr>
        <w:tc>
          <w:tcPr>
            <w:tcW w:w="6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Jednotlivé druhy nákladov za</w:t>
            </w:r>
          </w:p>
        </w:tc>
        <w:tc>
          <w:tcPr>
            <w:tcW w:w="3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3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1 200,00</w:t>
            </w:r>
          </w:p>
        </w:tc>
      </w:tr>
      <w:tr>
        <w:trPr>
          <w:trHeight w:val="284" w:hRule="atLeast"/>
        </w:trPr>
        <w:tc>
          <w:tcPr>
            <w:tcW w:w="6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3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6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3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6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daňové poradenstvo</w:t>
            </w:r>
          </w:p>
        </w:tc>
        <w:tc>
          <w:tcPr>
            <w:tcW w:w="3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6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3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6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sz w:val="16"/>
                <w:szCs w:val="16"/>
              </w:rPr>
              <w:t>1 200,00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jc w:val="left"/>
        <w:rPr>
          <w:b/>
          <w:b/>
          <w:bCs/>
        </w:rPr>
      </w:pPr>
      <w:r>
        <w:rPr>
          <w:b/>
          <w:bCs/>
        </w:rPr>
      </w:r>
      <w:r>
        <w:br w:type="page"/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</w:rPr>
      </w:pPr>
      <w:r>
        <w:rPr>
          <w:b/>
          <w:bCs/>
        </w:rPr>
        <w:t>Čl. V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</w:rPr>
      </w:pPr>
      <w:r>
        <w:rPr>
          <w:b/>
          <w:bCs/>
        </w:rPr>
        <w:t>Opis údajov na podsúvahových účtoch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Významné položky prenajatého majetku, majetku prijatého do úschovy, odpísané pohľadávky a prípadné ďalšie položky.</w:t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  <w:t>Organizácia si prenajíma nasledovné priestory:</w:t>
      </w:r>
    </w:p>
    <w:p>
      <w:pPr>
        <w:pStyle w:val="ListParagraph"/>
        <w:numPr>
          <w:ilvl w:val="0"/>
          <w:numId w:val="16"/>
        </w:numPr>
        <w:spacing w:lineRule="auto" w:line="259" w:before="0" w:after="160"/>
        <w:contextualSpacing/>
        <w:rPr>
          <w:sz w:val="18"/>
          <w:szCs w:val="18"/>
        </w:rPr>
      </w:pPr>
      <w:r>
        <w:rPr>
          <w:sz w:val="18"/>
          <w:szCs w:val="18"/>
        </w:rPr>
        <w:t>2 izbový byt Bernolákova 7, Malacky, mesačné nájomné 91,97 EUR - energie, prenajímateľ Michal Soják, nájomné dohodnuté do 26.07.2025, účel: poskytovanie sociálnej služby podporovaného bývania;</w:t>
      </w:r>
    </w:p>
    <w:p>
      <w:pPr>
        <w:pStyle w:val="ListParagraph"/>
        <w:numPr>
          <w:ilvl w:val="0"/>
          <w:numId w:val="16"/>
        </w:numPr>
        <w:spacing w:lineRule="auto" w:line="259" w:before="0" w:after="160"/>
        <w:contextualSpacing/>
        <w:rPr>
          <w:sz w:val="18"/>
          <w:szCs w:val="18"/>
        </w:rPr>
      </w:pPr>
      <w:r>
        <w:rPr>
          <w:sz w:val="18"/>
          <w:szCs w:val="18"/>
        </w:rPr>
        <w:t>3 izbový byt 1. mája, Malacky, mesačné nájomné 500 EUR, prenajímateľ Dušan a Jana Oravcová, nájomné dohodnuté do 01.04.2025, účel: poskytovanie sociálnej služby podporovaného bývania;</w:t>
      </w:r>
    </w:p>
    <w:p>
      <w:pPr>
        <w:pStyle w:val="ListParagraph"/>
        <w:numPr>
          <w:ilvl w:val="0"/>
          <w:numId w:val="16"/>
        </w:numPr>
        <w:spacing w:lineRule="auto" w:line="259" w:before="0" w:after="160"/>
        <w:contextualSpacing/>
        <w:rPr/>
      </w:pPr>
      <w:r>
        <w:rPr>
          <w:sz w:val="18"/>
          <w:szCs w:val="18"/>
        </w:rPr>
        <w:t>Nebytový priestor Duklianskych hrdinov, Malacky, mesačné nájomné 400 EUR a k 31.12.2019 uhradená kaucia vo výške 400 EUR, prenajímateľ PROPER Servis s.r.o., nájomné do 01.01.2030, účel: obchodný priestory na predaj výrobkov z chránenej dielne;</w:t>
      </w:r>
    </w:p>
    <w:p>
      <w:pPr>
        <w:pStyle w:val="ListParagraph"/>
        <w:numPr>
          <w:ilvl w:val="0"/>
          <w:numId w:val="16"/>
        </w:numPr>
        <w:spacing w:lineRule="auto" w:line="259" w:before="0" w:after="160"/>
        <w:contextualSpacing/>
        <w:rPr>
          <w:sz w:val="18"/>
          <w:szCs w:val="18"/>
        </w:rPr>
      </w:pPr>
      <w:r>
        <w:rPr>
          <w:sz w:val="18"/>
          <w:szCs w:val="18"/>
        </w:rPr>
        <w:t xml:space="preserve">Budova 1.máj 15, ročné nájomné 1 EUR, prenajímateľ Mesto Malacky, nájomné do 31.12.2034, účel: poskytovanie všeobecne prospešných služieb.  </w:t>
      </w:r>
    </w:p>
    <w:p>
      <w:pPr>
        <w:pStyle w:val="Normal"/>
        <w:spacing w:lineRule="auto" w:line="240" w:before="0" w:after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</w:rPr>
      </w:pPr>
      <w:r>
        <w:rPr>
          <w:b/>
          <w:bCs/>
        </w:rPr>
        <w:t>Čl. VI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</w:rPr>
      </w:pPr>
      <w:r>
        <w:rPr>
          <w:b/>
          <w:bCs/>
        </w:rPr>
        <w:t>Ďalšie informácie</w:t>
      </w:r>
    </w:p>
    <w:p>
      <w:pPr>
        <w:pStyle w:val="Textopatrenia"/>
        <w:numPr>
          <w:ilvl w:val="0"/>
          <w:numId w:val="13"/>
        </w:numPr>
        <w:rPr>
          <w:sz w:val="18"/>
          <w:szCs w:val="18"/>
        </w:rPr>
      </w:pPr>
      <w:r>
        <w:rPr>
          <w:sz w:val="18"/>
          <w:szCs w:val="18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>
      <w:pPr>
        <w:pStyle w:val="Textopatrenia"/>
        <w:rPr>
          <w:sz w:val="18"/>
          <w:szCs w:val="18"/>
        </w:rPr>
      </w:pPr>
      <w:r>
        <w:rPr>
          <w:sz w:val="18"/>
          <w:szCs w:val="18"/>
        </w:rPr>
        <w:t>Účtovná jednotka nemá iné aktíva alebo pasíva, ktoré by nevykazovala v súvahe.</w:t>
      </w:r>
    </w:p>
    <w:p>
      <w:pPr>
        <w:pStyle w:val="Textopatrenia"/>
        <w:numPr>
          <w:ilvl w:val="0"/>
          <w:numId w:val="13"/>
        </w:numPr>
        <w:spacing w:before="0" w:after="120"/>
        <w:ind w:left="357" w:hanging="357"/>
        <w:rPr>
          <w:sz w:val="18"/>
          <w:szCs w:val="18"/>
        </w:rPr>
      </w:pPr>
      <w:r>
        <w:rPr>
          <w:sz w:val="18"/>
          <w:szCs w:val="18"/>
        </w:rPr>
        <w:t>Opis a hodnota iných pasív vyplývajúcich zo súdnych rozhodnutí, z poskytnutých záruk, zo všeobecne záväzných právnych predpisov, z ručenia podľa jednotlivých druhov ručenia;  takýmito inými pasívami sú:</w:t>
      </w:r>
    </w:p>
    <w:p>
      <w:pPr>
        <w:pStyle w:val="Textopatrenia"/>
        <w:numPr>
          <w:ilvl w:val="0"/>
          <w:numId w:val="14"/>
        </w:numPr>
        <w:spacing w:before="0" w:after="120"/>
        <w:rPr>
          <w:sz w:val="18"/>
          <w:szCs w:val="18"/>
        </w:rPr>
      </w:pPr>
      <w:r>
        <w:rPr>
          <w:sz w:val="18"/>
          <w:szCs w:val="18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>
      <w:pPr>
        <w:pStyle w:val="Textopatrenia"/>
        <w:numPr>
          <w:ilvl w:val="0"/>
          <w:numId w:val="14"/>
        </w:numPr>
        <w:spacing w:before="0" w:after="120"/>
        <w:rPr>
          <w:sz w:val="18"/>
          <w:szCs w:val="18"/>
        </w:rPr>
      </w:pPr>
      <w:r>
        <w:rPr>
          <w:sz w:val="18"/>
          <w:szCs w:val="18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>
      <w:pPr>
        <w:pStyle w:val="Textopatrenia"/>
        <w:spacing w:before="0" w:after="120"/>
        <w:rPr>
          <w:sz w:val="18"/>
          <w:szCs w:val="18"/>
        </w:rPr>
      </w:pPr>
      <w:r>
        <w:rPr>
          <w:sz w:val="18"/>
          <w:szCs w:val="18"/>
        </w:rPr>
        <w:t>Účtovná jednotka nemá iné aktíva alebo pasíva, ktoré by nevykazovala v súvahe.</w:t>
      </w:r>
    </w:p>
    <w:p>
      <w:pPr>
        <w:pStyle w:val="Textopatrenia"/>
        <w:numPr>
          <w:ilvl w:val="0"/>
          <w:numId w:val="13"/>
        </w:numPr>
        <w:spacing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>
      <w:pPr>
        <w:pStyle w:val="Textopatrenia"/>
        <w:numPr>
          <w:ilvl w:val="0"/>
          <w:numId w:val="15"/>
        </w:numPr>
        <w:spacing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povinnosť z devízových termínovaných obchodov a iných finančných derivátov,</w:t>
      </w:r>
    </w:p>
    <w:p>
      <w:pPr>
        <w:pStyle w:val="Textopatrenia"/>
        <w:numPr>
          <w:ilvl w:val="0"/>
          <w:numId w:val="15"/>
        </w:numPr>
        <w:spacing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povinnosť z opčných obchodov,</w:t>
      </w:r>
    </w:p>
    <w:p>
      <w:pPr>
        <w:pStyle w:val="Textopatrenia"/>
        <w:numPr>
          <w:ilvl w:val="0"/>
          <w:numId w:val="15"/>
        </w:numPr>
        <w:spacing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zákonná povinnosť alebo zmluvná povinnosť odobrať určité produkty alebo služby, napríklad z dodávateľských alebo odberateľských zmlúv,</w:t>
      </w:r>
    </w:p>
    <w:p>
      <w:pPr>
        <w:pStyle w:val="Textopatrenia"/>
        <w:numPr>
          <w:ilvl w:val="0"/>
          <w:numId w:val="15"/>
        </w:numPr>
        <w:spacing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povinnosť z leasingových, nájomných, servisných, poistných, koncesionárskych, licenčných zmlúv a podobných zmlúv,</w:t>
      </w:r>
    </w:p>
    <w:p>
      <w:pPr>
        <w:pStyle w:val="Textopatrenia"/>
        <w:numPr>
          <w:ilvl w:val="0"/>
          <w:numId w:val="15"/>
        </w:numPr>
        <w:spacing w:before="0" w:after="120"/>
        <w:ind w:left="720" w:hanging="357"/>
        <w:rPr>
          <w:sz w:val="18"/>
          <w:szCs w:val="18"/>
        </w:rPr>
      </w:pPr>
      <w:r>
        <w:rPr>
          <w:sz w:val="18"/>
          <w:szCs w:val="18"/>
        </w:rPr>
        <w:t xml:space="preserve">iné povinnosti. </w:t>
      </w:r>
    </w:p>
    <w:p>
      <w:pPr>
        <w:pStyle w:val="Textopatrenia"/>
        <w:rPr>
          <w:sz w:val="18"/>
          <w:szCs w:val="18"/>
        </w:rPr>
      </w:pPr>
      <w:r>
        <w:rPr>
          <w:sz w:val="18"/>
          <w:szCs w:val="18"/>
        </w:rPr>
        <w:t>Účtovná jednotka nemá ostatné finančné povinnosti, ktoré by nevykazovala v súvahe.</w:t>
      </w:r>
    </w:p>
    <w:p>
      <w:pPr>
        <w:pStyle w:val="Normal"/>
        <w:numPr>
          <w:ilvl w:val="0"/>
          <w:numId w:val="13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nehnuteľných kultúrnych pamiatok, ktoré sú v správe alebo vo vlastníctve účtovnej jednotky. Informácie o významných skutočnostiach, ktoré nastali medzi dňom, ku ktorému sa zostavuje účtovná závierka a dňom jej zostavenia.</w:t>
      </w:r>
    </w:p>
    <w:p>
      <w:pPr>
        <w:pStyle w:val="Textopatrenia"/>
        <w:ind w:left="3" w:hanging="0"/>
        <w:rPr>
          <w:sz w:val="18"/>
          <w:szCs w:val="18"/>
        </w:rPr>
      </w:pPr>
      <w:r>
        <w:rPr>
          <w:sz w:val="18"/>
          <w:szCs w:val="18"/>
        </w:rPr>
        <w:t>Účtovná jednotka nemá vo vlastníctve ani v správe žiadne kultúrne pamiatky.</w:t>
      </w:r>
    </w:p>
    <w:p>
      <w:pPr>
        <w:pStyle w:val="Normal"/>
        <w:numPr>
          <w:ilvl w:val="0"/>
          <w:numId w:val="13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Informácie o významných skutočnostiach, ktoré nastali medzi dňom, ku ktorému sa zostavuje účtovná závierka a dňom jej zostavenia.</w:t>
      </w:r>
    </w:p>
    <w:p>
      <w:pPr>
        <w:pStyle w:val="Textopatrenia"/>
        <w:spacing w:before="0" w:after="120"/>
        <w:ind w:left="3" w:hanging="0"/>
        <w:rPr>
          <w:sz w:val="18"/>
          <w:szCs w:val="18"/>
        </w:rPr>
      </w:pPr>
      <w:r>
        <w:rPr>
          <w:sz w:val="18"/>
          <w:szCs w:val="18"/>
        </w:rPr>
        <w:t>Medzi dňom zostavenia účtovnej závierky a dňom, ku ktorému sa účtovná závierka zostavuje, nenastali žiadne iné významné skutočnosti, ktoré by mali významný vplyv na údaje vykázané v účtovnej závierke.</w:t>
      </w:r>
    </w:p>
    <w:p>
      <w:pPr>
        <w:pStyle w:val="Textopatrenia"/>
        <w:ind w:left="3" w:hanging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widowControl/>
        <w:bidi w:val="0"/>
        <w:spacing w:lineRule="auto" w:line="360" w:before="120" w:after="120"/>
        <w:jc w:val="both"/>
        <w:rPr/>
      </w:pPr>
      <w:r>
        <w:rPr/>
      </w:r>
    </w:p>
    <w:sectPr>
      <w:footerReference w:type="default" r:id="rId2"/>
      <w:type w:val="nextPage"/>
      <w:pgSz w:w="11906" w:h="16838"/>
      <w:pgMar w:left="964" w:right="964" w:header="0" w:top="1304" w:footer="454" w:bottom="1021" w:gutter="0"/>
      <w:pgNumType w:start="7" w:fmt="decimal"/>
      <w:formProt w:val="false"/>
      <w:textDirection w:val="lrTb"/>
      <w:docGrid w:type="default" w:linePitch="272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libri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spacing w:before="120" w:after="120"/>
      <w:jc w:val="right"/>
      <w:rPr/>
    </w:pPr>
    <w:r>
      <w:rPr/>
      <w:fldChar w:fldCharType="begin"/>
    </w:r>
    <w:r>
      <w:instrText> PAGE </w:instrText>
    </w:r>
    <w:r>
      <w:fldChar w:fldCharType="separate"/>
    </w:r>
    <w:r>
      <w:t>10</w:t>
    </w:r>
    <w:r>
      <w:fldChar w:fldCharType="end"/>
    </w:r>
  </w:p>
  <w:p>
    <w:pPr>
      <w:pStyle w:val="Pta"/>
      <w:tabs>
        <w:tab w:val="center" w:pos="4536" w:leader="none"/>
        <w:tab w:val="right" w:pos="9072" w:leader="none"/>
      </w:tabs>
      <w:spacing w:before="120" w:after="120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upperRoman"/>
      <w:suff w:val="nothing"/>
      <w:lvlText w:val="Čl. %1."/>
      <w:lvlJc w:val="center"/>
      <w:pPr>
        <w:ind w:left="0" w:hanging="0"/>
      </w:pPr>
      <w:rPr>
        <w:sz w:val="24"/>
        <w:i w:val="false"/>
        <w:b/>
        <w:szCs w:val="24"/>
        <w:iCs w:val="false"/>
        <w:bCs/>
        <w:rFonts w:cs="Arial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i w:val="false"/>
        <w:b/>
        <w:iCs w:val="false"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sz w:val="16"/>
        <w:i w:val="false"/>
        <w:b w:val="false"/>
        <w:iCs w:val="false"/>
        <w:bCs w:val="false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sz w:val="18"/>
        <w:i w:val="false"/>
        <w:b w:val="false"/>
        <w:iCs w:val="false"/>
        <w:bCs w:val="false"/>
      </w:rPr>
    </w:lvl>
    <w:lvl w:ilvl="3">
      <w:start w:val="1"/>
      <w:numFmt w:val="none"/>
      <w:suff w:val="nothing"/>
      <w:lvlText w:val=""/>
      <w:lvlJc w:val="left"/>
      <w:pPr>
        <w:ind w:left="1440" w:hanging="360"/>
      </w:pPr>
    </w:lvl>
    <w:lvl w:ilvl="4">
      <w:start w:val="1"/>
      <w:numFmt w:val="none"/>
      <w:suff w:val="nothing"/>
      <w:lvlText w:val=""/>
      <w:lvlJc w:val="left"/>
      <w:pPr>
        <w:ind w:left="1800" w:hanging="360"/>
      </w:pPr>
    </w:lvl>
    <w:lvl w:ilvl="5">
      <w:start w:val="1"/>
      <w:numFmt w:val="none"/>
      <w:suff w:val="nothing"/>
      <w:lvlText w:val=""/>
      <w:lvlJc w:val="left"/>
      <w:pPr>
        <w:ind w:left="2160" w:hanging="360"/>
      </w:pPr>
    </w:lvl>
    <w:lvl w:ilvl="6">
      <w:start w:val="1"/>
      <w:numFmt w:val="none"/>
      <w:suff w:val="nothing"/>
      <w:lvlText w:val=""/>
      <w:lvlJc w:val="left"/>
      <w:pPr>
        <w:ind w:left="2520" w:hanging="360"/>
      </w:pPr>
    </w:lvl>
    <w:lvl w:ilvl="7">
      <w:start w:val="1"/>
      <w:numFmt w:val="none"/>
      <w:suff w:val="nothing"/>
      <w:lvlText w:val=""/>
      <w:lvlJc w:val="left"/>
      <w:pPr>
        <w:ind w:left="2880" w:hanging="360"/>
      </w:pPr>
    </w:lvl>
    <w:lvl w:ilvl="8">
      <w:start w:val="1"/>
      <w:numFmt w:val="none"/>
      <w:suff w:val="nothing"/>
      <w:lvlText w:val=""/>
      <w:lvlJc w:val="left"/>
      <w:pPr>
        <w:ind w:left="3240" w:hanging="360"/>
      </w:pPr>
    </w:lvl>
  </w:abstractNum>
  <w:abstractNum w:abstractNumId="5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16"/>
        <w:rFonts w:cs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rFonts w:cs="Wingdings"/>
      </w:rPr>
    </w:lvl>
  </w:abstractNum>
  <w:abstractNum w:abstractNumId="9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lvl w:ilvl="0">
      <w:start w:val="1"/>
      <w:numFmt w:val="decimal"/>
      <w:lvlText w:val="(%1)"/>
      <w:lvlJc w:val="left"/>
      <w:pPr>
        <w:ind w:left="360" w:hanging="360"/>
      </w:pPr>
      <w:rPr>
        <w:sz w:val="18"/>
        <w:szCs w:val="16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lvl w:ilvl="0">
      <w:start w:val="1"/>
      <w:numFmt w:val="upperLetter"/>
      <w:lvlText w:val="%1)"/>
      <w:lvlJc w:val="left"/>
      <w:pPr>
        <w:ind w:left="720" w:hanging="360"/>
      </w:pPr>
      <w:rPr>
        <w:sz w:val="18"/>
        <w:b w:val="false"/>
        <w:szCs w:val="16"/>
        <w:bCs w:val="fals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Cs w:val="22"/>
        <w:lang w:val="sk-SK" w:eastAsia="sk-SK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91dcc"/>
    <w:pPr>
      <w:widowControl/>
      <w:bidi w:val="0"/>
      <w:spacing w:lineRule="auto" w:line="360" w:before="120" w:after="120"/>
      <w:jc w:val="both"/>
    </w:pPr>
    <w:rPr>
      <w:rFonts w:ascii="Arial Narrow" w:hAnsi="Arial Narrow" w:cs="Arial Narrow" w:eastAsia="Times New Roman"/>
      <w:color w:val="00000A"/>
      <w:sz w:val="20"/>
      <w:szCs w:val="20"/>
      <w:lang w:eastAsia="cs-CZ" w:val="sk-SK" w:bidi="ar-SA"/>
    </w:rPr>
  </w:style>
  <w:style w:type="paragraph" w:styleId="Nadpis1">
    <w:name w:val="Heading 1"/>
    <w:basedOn w:val="Normal"/>
    <w:link w:val="Nadpis1Char"/>
    <w:uiPriority w:val="99"/>
    <w:qFormat/>
    <w:rsid w:val="00d440d5"/>
    <w:pPr>
      <w:keepNext/>
      <w:numPr>
        <w:ilvl w:val="0"/>
        <w:numId w:val="1"/>
      </w:numPr>
      <w:spacing w:lineRule="auto" w:line="240"/>
      <w:jc w:val="center"/>
      <w:outlineLvl w:val="0"/>
      <w:outlineLvl w:val="0"/>
    </w:pPr>
    <w:rPr>
      <w:rFonts w:ascii="Cambria" w:hAnsi="Cambria" w:cs="Cambria"/>
      <w:b/>
      <w:bCs/>
      <w:sz w:val="32"/>
      <w:szCs w:val="32"/>
    </w:rPr>
  </w:style>
  <w:style w:type="paragraph" w:styleId="Nadpis2">
    <w:name w:val="Heading 2"/>
    <w:basedOn w:val="Normal"/>
    <w:link w:val="Nadpis2Char"/>
    <w:uiPriority w:val="99"/>
    <w:qFormat/>
    <w:rsid w:val="00d440d5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al"/>
    <w:link w:val="Nadpis3Char"/>
    <w:uiPriority w:val="99"/>
    <w:qFormat/>
    <w:rsid w:val="00945816"/>
    <w:pPr>
      <w:keepNext/>
      <w:spacing w:lineRule="auto" w:line="240" w:before="240" w:after="60"/>
      <w:jc w:val="left"/>
      <w:outlineLvl w:val="2"/>
    </w:pPr>
    <w:rPr>
      <w:rFonts w:ascii="Arial" w:hAnsi="Arial" w:cs="Arial"/>
      <w:b/>
      <w:bCs/>
      <w:sz w:val="26"/>
      <w:szCs w:val="26"/>
      <w:lang w:val="cs-CZ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rsid w:val="00d77bde"/>
    <w:rPr>
      <w:rFonts w:ascii="Cambria" w:hAnsi="Cambria" w:cs="Cambria"/>
      <w:b/>
      <w:bCs/>
      <w:sz w:val="32"/>
      <w:szCs w:val="32"/>
      <w:lang w:eastAsia="cs-CZ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rsid w:val="00d77bde"/>
    <w:rPr>
      <w:rFonts w:ascii="Cambria" w:hAnsi="Cambria" w:cs="Cambria"/>
      <w:b/>
      <w:bCs/>
      <w:i/>
      <w:iCs/>
      <w:sz w:val="28"/>
      <w:szCs w:val="28"/>
      <w:lang w:eastAsia="cs-CZ"/>
    </w:rPr>
  </w:style>
  <w:style w:type="character" w:styleId="Nadpis3Char" w:customStyle="1">
    <w:name w:val="Nadpis 3 Char"/>
    <w:basedOn w:val="DefaultParagraphFont"/>
    <w:link w:val="Nadpis3"/>
    <w:uiPriority w:val="99"/>
    <w:qFormat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character" w:styleId="TltlnzovChar115ptAntiqueOliveNiejeTun" w:customStyle="1">
    <w:name w:val="Štýl Štýl § názov Char + 115 pt + Antique Olive Nie je Tučné"/>
    <w:uiPriority w:val="99"/>
    <w:qFormat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character" w:styleId="PtaChar" w:customStyle="1">
    <w:name w:val="Päta Char"/>
    <w:basedOn w:val="DefaultParagraphFont"/>
    <w:link w:val="Pta"/>
    <w:uiPriority w:val="99"/>
    <w:qFormat/>
    <w:rsid w:val="00d77bde"/>
    <w:rPr>
      <w:rFonts w:ascii="Arial" w:hAnsi="Arial" w:cs="Arial"/>
      <w:sz w:val="24"/>
      <w:szCs w:val="24"/>
      <w:lang w:eastAsia="cs-CZ"/>
    </w:rPr>
  </w:style>
  <w:style w:type="character" w:styleId="Pagenumber">
    <w:name w:val="page number"/>
    <w:basedOn w:val="DefaultParagraphFont"/>
    <w:uiPriority w:val="99"/>
    <w:qFormat/>
    <w:rsid w:val="0072048d"/>
    <w:rPr/>
  </w:style>
  <w:style w:type="character" w:styleId="Strong">
    <w:name w:val="Strong"/>
    <w:basedOn w:val="DefaultParagraphFont"/>
    <w:uiPriority w:val="99"/>
    <w:qFormat/>
    <w:rsid w:val="00db3c2d"/>
    <w:rPr>
      <w:b/>
      <w:bCs/>
    </w:rPr>
  </w:style>
  <w:style w:type="character" w:styleId="ZkladntextChar" w:customStyle="1">
    <w:name w:val="Základný text Char"/>
    <w:basedOn w:val="DefaultParagraphFont"/>
    <w:link w:val="Zkladntext"/>
    <w:uiPriority w:val="99"/>
    <w:qFormat/>
    <w:rsid w:val="00497323"/>
    <w:rPr>
      <w:rFonts w:ascii="Arial" w:hAnsi="Arial" w:cs="Arial"/>
      <w:sz w:val="24"/>
      <w:szCs w:val="24"/>
      <w:lang w:val="de-DE" w:eastAsia="cs-CZ"/>
    </w:rPr>
  </w:style>
  <w:style w:type="character" w:styleId="HlavikaChar" w:customStyle="1">
    <w:name w:val="Hlavička Char"/>
    <w:basedOn w:val="DefaultParagraphFont"/>
    <w:link w:val="Hlavika"/>
    <w:uiPriority w:val="99"/>
    <w:qFormat/>
    <w:rsid w:val="00804636"/>
    <w:rPr>
      <w:rFonts w:ascii="Arial Narrow" w:hAnsi="Arial Narrow" w:cs="Arial Narrow"/>
      <w:sz w:val="24"/>
      <w:szCs w:val="24"/>
      <w:lang w:eastAsia="cs-CZ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1058f5"/>
    <w:rPr>
      <w:rFonts w:ascii="Tahoma" w:hAnsi="Tahoma" w:cs="Tahoma"/>
      <w:sz w:val="16"/>
      <w:szCs w:val="16"/>
      <w:lang w:eastAsia="cs-CZ"/>
    </w:rPr>
  </w:style>
  <w:style w:type="character" w:styleId="ListLabel1" w:customStyle="1">
    <w:name w:val="ListLabel 1"/>
    <w:qFormat/>
    <w:rPr>
      <w:rFonts w:cs="Arial"/>
      <w:b/>
      <w:bCs/>
      <w:i w:val="false"/>
      <w:iCs w:val="false"/>
      <w:sz w:val="24"/>
      <w:szCs w:val="24"/>
    </w:rPr>
  </w:style>
  <w:style w:type="character" w:styleId="ListLabel2" w:customStyle="1">
    <w:name w:val="ListLabel 2"/>
    <w:qFormat/>
    <w:rPr>
      <w:b w:val="false"/>
      <w:bCs w:val="false"/>
      <w:i w:val="false"/>
      <w:iCs w:val="false"/>
    </w:rPr>
  </w:style>
  <w:style w:type="character" w:styleId="ListLabel3" w:customStyle="1">
    <w:name w:val="ListLabel 3"/>
    <w:qFormat/>
    <w:rPr>
      <w:rFonts w:cs="Arial"/>
      <w:b/>
      <w:bCs/>
      <w:i w:val="false"/>
      <w:iCs w:val="false"/>
      <w:sz w:val="24"/>
      <w:szCs w:val="24"/>
    </w:rPr>
  </w:style>
  <w:style w:type="character" w:styleId="ListLabel4" w:customStyle="1">
    <w:name w:val="ListLabel 4"/>
    <w:qFormat/>
    <w:rPr>
      <w:b w:val="false"/>
      <w:bCs w:val="false"/>
      <w:i w:val="false"/>
      <w:iCs w:val="false"/>
    </w:rPr>
  </w:style>
  <w:style w:type="character" w:styleId="ListLabel5" w:customStyle="1">
    <w:name w:val="ListLabel 5"/>
    <w:qFormat/>
    <w:rPr>
      <w:b/>
      <w:bCs/>
      <w:i w:val="false"/>
      <w:iCs w:val="false"/>
    </w:rPr>
  </w:style>
  <w:style w:type="character" w:styleId="ListLabel6" w:customStyle="1">
    <w:name w:val="ListLabel 6"/>
    <w:qFormat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7" w:customStyle="1">
    <w:name w:val="ListLabel 7"/>
    <w:qFormat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8" w:customStyle="1">
    <w:name w:val="ListLabel 8"/>
    <w:qFormat/>
    <w:rPr>
      <w:b/>
      <w:bCs/>
      <w:i w:val="false"/>
      <w:iCs w:val="false"/>
    </w:rPr>
  </w:style>
  <w:style w:type="character" w:styleId="ListLabel9" w:customStyle="1">
    <w:name w:val="ListLabel 9"/>
    <w:qFormat/>
    <w:rPr>
      <w:b w:val="false"/>
      <w:bCs w:val="false"/>
      <w:i w:val="false"/>
      <w:iCs w:val="false"/>
      <w:sz w:val="16"/>
    </w:rPr>
  </w:style>
  <w:style w:type="character" w:styleId="ListLabel10" w:customStyle="1">
    <w:name w:val="ListLabel 10"/>
    <w:qFormat/>
    <w:rPr>
      <w:b w:val="false"/>
      <w:bCs w:val="false"/>
      <w:i w:val="false"/>
      <w:iCs w:val="false"/>
      <w:sz w:val="18"/>
    </w:rPr>
  </w:style>
  <w:style w:type="character" w:styleId="ListLabel11" w:customStyle="1">
    <w:name w:val="ListLabel 11"/>
    <w:qFormat/>
    <w:rPr>
      <w:rFonts w:cs="Symbol"/>
      <w:b/>
      <w:sz w:val="16"/>
    </w:rPr>
  </w:style>
  <w:style w:type="character" w:styleId="ListLabel12" w:customStyle="1">
    <w:name w:val="ListLabel 12"/>
    <w:qFormat/>
    <w:rPr>
      <w:rFonts w:cs="Courier New"/>
    </w:rPr>
  </w:style>
  <w:style w:type="character" w:styleId="ListLabel13" w:customStyle="1">
    <w:name w:val="ListLabel 13"/>
    <w:qFormat/>
    <w:rPr>
      <w:rFonts w:cs="Wingdings"/>
    </w:rPr>
  </w:style>
  <w:style w:type="character" w:styleId="ListLabel14" w:customStyle="1">
    <w:name w:val="ListLabel 14"/>
    <w:qFormat/>
    <w:rPr>
      <w:rFonts w:cs="Symbol"/>
    </w:rPr>
  </w:style>
  <w:style w:type="character" w:styleId="ListLabel15" w:customStyle="1">
    <w:name w:val="ListLabel 15"/>
    <w:qFormat/>
    <w:rPr>
      <w:rFonts w:cs="Courier New"/>
    </w:rPr>
  </w:style>
  <w:style w:type="character" w:styleId="ListLabel16" w:customStyle="1">
    <w:name w:val="ListLabel 16"/>
    <w:qFormat/>
    <w:rPr>
      <w:rFonts w:cs="Wingdings"/>
    </w:rPr>
  </w:style>
  <w:style w:type="character" w:styleId="ListLabel17" w:customStyle="1">
    <w:name w:val="ListLabel 17"/>
    <w:qFormat/>
    <w:rPr>
      <w:rFonts w:cs="Symbol"/>
    </w:rPr>
  </w:style>
  <w:style w:type="character" w:styleId="ListLabel18" w:customStyle="1">
    <w:name w:val="ListLabel 18"/>
    <w:qFormat/>
    <w:rPr>
      <w:rFonts w:cs="Courier New"/>
    </w:rPr>
  </w:style>
  <w:style w:type="character" w:styleId="ListLabel19" w:customStyle="1">
    <w:name w:val="ListLabel 19"/>
    <w:qFormat/>
    <w:rPr>
      <w:rFonts w:cs="Wingdings"/>
    </w:rPr>
  </w:style>
  <w:style w:type="character" w:styleId="ListLabel20" w:customStyle="1">
    <w:name w:val="ListLabel 20"/>
    <w:qFormat/>
    <w:rPr>
      <w:rFonts w:cs="Symbol"/>
      <w:sz w:val="16"/>
    </w:rPr>
  </w:style>
  <w:style w:type="character" w:styleId="ListLabel21" w:customStyle="1">
    <w:name w:val="ListLabel 21"/>
    <w:qFormat/>
    <w:rPr>
      <w:rFonts w:cs="Courier New"/>
    </w:rPr>
  </w:style>
  <w:style w:type="character" w:styleId="ListLabel22" w:customStyle="1">
    <w:name w:val="ListLabel 22"/>
    <w:qFormat/>
    <w:rPr>
      <w:rFonts w:cs="Wingdings"/>
    </w:rPr>
  </w:style>
  <w:style w:type="character" w:styleId="ListLabel23" w:customStyle="1">
    <w:name w:val="ListLabel 23"/>
    <w:qFormat/>
    <w:rPr>
      <w:rFonts w:cs="Symbol"/>
    </w:rPr>
  </w:style>
  <w:style w:type="character" w:styleId="ListLabel24" w:customStyle="1">
    <w:name w:val="ListLabel 24"/>
    <w:qFormat/>
    <w:rPr>
      <w:rFonts w:cs="Courier New"/>
    </w:rPr>
  </w:style>
  <w:style w:type="character" w:styleId="ListLabel25" w:customStyle="1">
    <w:name w:val="ListLabel 25"/>
    <w:qFormat/>
    <w:rPr>
      <w:rFonts w:cs="Wingdings"/>
    </w:rPr>
  </w:style>
  <w:style w:type="character" w:styleId="ListLabel26" w:customStyle="1">
    <w:name w:val="ListLabel 26"/>
    <w:qFormat/>
    <w:rPr>
      <w:rFonts w:cs="Symbol"/>
    </w:rPr>
  </w:style>
  <w:style w:type="character" w:styleId="ListLabel27" w:customStyle="1">
    <w:name w:val="ListLabel 27"/>
    <w:qFormat/>
    <w:rPr>
      <w:rFonts w:cs="Courier New"/>
    </w:rPr>
  </w:style>
  <w:style w:type="character" w:styleId="ListLabel28" w:customStyle="1">
    <w:name w:val="ListLabel 28"/>
    <w:qFormat/>
    <w:rPr>
      <w:rFonts w:cs="Wingdings"/>
    </w:rPr>
  </w:style>
  <w:style w:type="character" w:styleId="ListLabel29" w:customStyle="1">
    <w:name w:val="ListLabel 29"/>
    <w:qFormat/>
    <w:rPr>
      <w:rFonts w:cs="Symbol"/>
      <w:sz w:val="16"/>
    </w:rPr>
  </w:style>
  <w:style w:type="character" w:styleId="ListLabel30" w:customStyle="1">
    <w:name w:val="ListLabel 30"/>
    <w:qFormat/>
    <w:rPr>
      <w:rFonts w:cs="Courier New"/>
    </w:rPr>
  </w:style>
  <w:style w:type="character" w:styleId="ListLabel31" w:customStyle="1">
    <w:name w:val="ListLabel 31"/>
    <w:qFormat/>
    <w:rPr>
      <w:rFonts w:cs="Wingdings"/>
    </w:rPr>
  </w:style>
  <w:style w:type="character" w:styleId="ListLabel32" w:customStyle="1">
    <w:name w:val="ListLabel 32"/>
    <w:qFormat/>
    <w:rPr>
      <w:rFonts w:cs="Symbol"/>
    </w:rPr>
  </w:style>
  <w:style w:type="character" w:styleId="ListLabel33" w:customStyle="1">
    <w:name w:val="ListLabel 33"/>
    <w:qFormat/>
    <w:rPr>
      <w:rFonts w:cs="Courier New"/>
    </w:rPr>
  </w:style>
  <w:style w:type="character" w:styleId="ListLabel34" w:customStyle="1">
    <w:name w:val="ListLabel 34"/>
    <w:qFormat/>
    <w:rPr>
      <w:rFonts w:cs="Wingdings"/>
    </w:rPr>
  </w:style>
  <w:style w:type="character" w:styleId="ListLabel35" w:customStyle="1">
    <w:name w:val="ListLabel 35"/>
    <w:qFormat/>
    <w:rPr>
      <w:rFonts w:cs="Symbol"/>
    </w:rPr>
  </w:style>
  <w:style w:type="character" w:styleId="ListLabel36" w:customStyle="1">
    <w:name w:val="ListLabel 36"/>
    <w:qFormat/>
    <w:rPr>
      <w:rFonts w:cs="Courier New"/>
    </w:rPr>
  </w:style>
  <w:style w:type="character" w:styleId="ListLabel37" w:customStyle="1">
    <w:name w:val="ListLabel 37"/>
    <w:qFormat/>
    <w:rPr>
      <w:rFonts w:cs="Wingdings"/>
    </w:rPr>
  </w:style>
  <w:style w:type="character" w:styleId="ListLabel38" w:customStyle="1">
    <w:name w:val="ListLabel 38"/>
    <w:qFormat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39" w:customStyle="1">
    <w:name w:val="ListLabel 39"/>
    <w:qFormat/>
    <w:rPr>
      <w:rFonts w:cs="Arial"/>
      <w:b/>
      <w:bCs/>
      <w:i w:val="false"/>
      <w:iCs w:val="false"/>
      <w:sz w:val="24"/>
      <w:szCs w:val="24"/>
    </w:rPr>
  </w:style>
  <w:style w:type="character" w:styleId="ListLabel40" w:customStyle="1">
    <w:name w:val="ListLabel 40"/>
    <w:qFormat/>
    <w:rPr>
      <w:b/>
      <w:bCs/>
      <w:i w:val="false"/>
      <w:iCs w:val="false"/>
    </w:rPr>
  </w:style>
  <w:style w:type="character" w:styleId="ListLabel41" w:customStyle="1">
    <w:name w:val="ListLabel 41"/>
    <w:qFormat/>
    <w:rPr>
      <w:b w:val="false"/>
      <w:bCs w:val="false"/>
      <w:i w:val="false"/>
      <w:iCs w:val="false"/>
      <w:sz w:val="16"/>
    </w:rPr>
  </w:style>
  <w:style w:type="character" w:styleId="ListLabel42" w:customStyle="1">
    <w:name w:val="ListLabel 42"/>
    <w:qFormat/>
    <w:rPr>
      <w:b w:val="false"/>
      <w:bCs w:val="false"/>
      <w:i w:val="false"/>
      <w:iCs w:val="false"/>
      <w:sz w:val="18"/>
    </w:rPr>
  </w:style>
  <w:style w:type="character" w:styleId="ListLabel43" w:customStyle="1">
    <w:name w:val="ListLabel 43"/>
    <w:qFormat/>
    <w:rPr>
      <w:rFonts w:cs="Symbol"/>
      <w:b/>
      <w:sz w:val="16"/>
    </w:rPr>
  </w:style>
  <w:style w:type="character" w:styleId="ListLabel44" w:customStyle="1">
    <w:name w:val="ListLabel 44"/>
    <w:qFormat/>
    <w:rPr>
      <w:rFonts w:cs="Courier New"/>
    </w:rPr>
  </w:style>
  <w:style w:type="character" w:styleId="ListLabel45" w:customStyle="1">
    <w:name w:val="ListLabel 45"/>
    <w:qFormat/>
    <w:rPr>
      <w:rFonts w:cs="Wingdings"/>
    </w:rPr>
  </w:style>
  <w:style w:type="character" w:styleId="ListLabel46" w:customStyle="1">
    <w:name w:val="ListLabel 46"/>
    <w:qFormat/>
    <w:rPr>
      <w:rFonts w:cs="Symbol"/>
    </w:rPr>
  </w:style>
  <w:style w:type="character" w:styleId="ListLabel47" w:customStyle="1">
    <w:name w:val="ListLabel 47"/>
    <w:qFormat/>
    <w:rPr>
      <w:rFonts w:cs="Courier New"/>
    </w:rPr>
  </w:style>
  <w:style w:type="character" w:styleId="ListLabel48" w:customStyle="1">
    <w:name w:val="ListLabel 48"/>
    <w:qFormat/>
    <w:rPr>
      <w:rFonts w:cs="Wingdings"/>
    </w:rPr>
  </w:style>
  <w:style w:type="character" w:styleId="ListLabel49" w:customStyle="1">
    <w:name w:val="ListLabel 49"/>
    <w:qFormat/>
    <w:rPr>
      <w:rFonts w:cs="Symbol"/>
    </w:rPr>
  </w:style>
  <w:style w:type="character" w:styleId="ListLabel50" w:customStyle="1">
    <w:name w:val="ListLabel 50"/>
    <w:qFormat/>
    <w:rPr>
      <w:rFonts w:cs="Courier New"/>
    </w:rPr>
  </w:style>
  <w:style w:type="character" w:styleId="ListLabel51" w:customStyle="1">
    <w:name w:val="ListLabel 51"/>
    <w:qFormat/>
    <w:rPr>
      <w:rFonts w:cs="Wingdings"/>
    </w:rPr>
  </w:style>
  <w:style w:type="character" w:styleId="ListLabel52" w:customStyle="1">
    <w:name w:val="ListLabel 52"/>
    <w:qFormat/>
    <w:rPr>
      <w:rFonts w:cs="Symbol"/>
      <w:sz w:val="16"/>
    </w:rPr>
  </w:style>
  <w:style w:type="character" w:styleId="ListLabel53" w:customStyle="1">
    <w:name w:val="ListLabel 53"/>
    <w:qFormat/>
    <w:rPr>
      <w:rFonts w:cs="Courier New"/>
    </w:rPr>
  </w:style>
  <w:style w:type="character" w:styleId="ListLabel54" w:customStyle="1">
    <w:name w:val="ListLabel 54"/>
    <w:qFormat/>
    <w:rPr>
      <w:rFonts w:cs="Wingdings"/>
    </w:rPr>
  </w:style>
  <w:style w:type="character" w:styleId="ListLabel55" w:customStyle="1">
    <w:name w:val="ListLabel 55"/>
    <w:qFormat/>
    <w:rPr>
      <w:rFonts w:cs="Symbol"/>
    </w:rPr>
  </w:style>
  <w:style w:type="character" w:styleId="ListLabel56" w:customStyle="1">
    <w:name w:val="ListLabel 56"/>
    <w:qFormat/>
    <w:rPr>
      <w:rFonts w:cs="Courier New"/>
    </w:rPr>
  </w:style>
  <w:style w:type="character" w:styleId="ListLabel57" w:customStyle="1">
    <w:name w:val="ListLabel 57"/>
    <w:qFormat/>
    <w:rPr>
      <w:rFonts w:cs="Wingdings"/>
    </w:rPr>
  </w:style>
  <w:style w:type="character" w:styleId="ListLabel58" w:customStyle="1">
    <w:name w:val="ListLabel 58"/>
    <w:qFormat/>
    <w:rPr>
      <w:rFonts w:cs="Symbol"/>
    </w:rPr>
  </w:style>
  <w:style w:type="character" w:styleId="ListLabel59" w:customStyle="1">
    <w:name w:val="ListLabel 59"/>
    <w:qFormat/>
    <w:rPr>
      <w:rFonts w:cs="Courier New"/>
    </w:rPr>
  </w:style>
  <w:style w:type="character" w:styleId="ListLabel60" w:customStyle="1">
    <w:name w:val="ListLabel 60"/>
    <w:qFormat/>
    <w:rPr>
      <w:rFonts w:cs="Wingdings"/>
    </w:rPr>
  </w:style>
  <w:style w:type="character" w:styleId="ListLabel61" w:customStyle="1">
    <w:name w:val="ListLabel 61"/>
    <w:qFormat/>
    <w:rPr>
      <w:rFonts w:cs="Symbol"/>
      <w:sz w:val="16"/>
    </w:rPr>
  </w:style>
  <w:style w:type="character" w:styleId="ListLabel62" w:customStyle="1">
    <w:name w:val="ListLabel 62"/>
    <w:qFormat/>
    <w:rPr>
      <w:rFonts w:cs="Courier New"/>
    </w:rPr>
  </w:style>
  <w:style w:type="character" w:styleId="ListLabel63" w:customStyle="1">
    <w:name w:val="ListLabel 63"/>
    <w:qFormat/>
    <w:rPr>
      <w:rFonts w:cs="Wingdings"/>
    </w:rPr>
  </w:style>
  <w:style w:type="character" w:styleId="ListLabel64" w:customStyle="1">
    <w:name w:val="ListLabel 64"/>
    <w:qFormat/>
    <w:rPr>
      <w:rFonts w:cs="Symbol"/>
    </w:rPr>
  </w:style>
  <w:style w:type="character" w:styleId="ListLabel65" w:customStyle="1">
    <w:name w:val="ListLabel 65"/>
    <w:qFormat/>
    <w:rPr>
      <w:rFonts w:cs="Courier New"/>
    </w:rPr>
  </w:style>
  <w:style w:type="character" w:styleId="ListLabel66" w:customStyle="1">
    <w:name w:val="ListLabel 66"/>
    <w:qFormat/>
    <w:rPr>
      <w:rFonts w:cs="Wingdings"/>
    </w:rPr>
  </w:style>
  <w:style w:type="character" w:styleId="ListLabel67" w:customStyle="1">
    <w:name w:val="ListLabel 67"/>
    <w:qFormat/>
    <w:rPr>
      <w:rFonts w:cs="Symbol"/>
    </w:rPr>
  </w:style>
  <w:style w:type="character" w:styleId="ListLabel68" w:customStyle="1">
    <w:name w:val="ListLabel 68"/>
    <w:qFormat/>
    <w:rPr>
      <w:rFonts w:cs="Courier New"/>
    </w:rPr>
  </w:style>
  <w:style w:type="character" w:styleId="ListLabel69" w:customStyle="1">
    <w:name w:val="ListLabel 69"/>
    <w:qFormat/>
    <w:rPr>
      <w:rFonts w:cs="Wingdings"/>
    </w:rPr>
  </w:style>
  <w:style w:type="character" w:styleId="ListLabel70" w:customStyle="1">
    <w:name w:val="ListLabel 70"/>
    <w:qFormat/>
    <w:rPr>
      <w:rFonts w:cs="Arial"/>
      <w:b/>
      <w:bCs/>
      <w:i w:val="false"/>
      <w:iCs w:val="false"/>
      <w:sz w:val="24"/>
      <w:szCs w:val="24"/>
    </w:rPr>
  </w:style>
  <w:style w:type="character" w:styleId="ListLabel71" w:customStyle="1">
    <w:name w:val="ListLabel 71"/>
    <w:qFormat/>
    <w:rPr>
      <w:b/>
      <w:bCs/>
      <w:i w:val="false"/>
      <w:iCs w:val="false"/>
    </w:rPr>
  </w:style>
  <w:style w:type="character" w:styleId="ListLabel72" w:customStyle="1">
    <w:name w:val="ListLabel 72"/>
    <w:qFormat/>
    <w:rPr>
      <w:b w:val="false"/>
      <w:bCs w:val="false"/>
      <w:i w:val="false"/>
      <w:iCs w:val="false"/>
      <w:sz w:val="16"/>
    </w:rPr>
  </w:style>
  <w:style w:type="character" w:styleId="ListLabel73" w:customStyle="1">
    <w:name w:val="ListLabel 73"/>
    <w:qFormat/>
    <w:rPr>
      <w:b w:val="false"/>
      <w:bCs w:val="false"/>
      <w:i w:val="false"/>
      <w:iCs w:val="false"/>
      <w:sz w:val="18"/>
    </w:rPr>
  </w:style>
  <w:style w:type="character" w:styleId="ListLabel74" w:customStyle="1">
    <w:name w:val="ListLabel 74"/>
    <w:qFormat/>
    <w:rPr>
      <w:rFonts w:cs="Symbol"/>
      <w:b/>
      <w:sz w:val="16"/>
    </w:rPr>
  </w:style>
  <w:style w:type="character" w:styleId="ListLabel75" w:customStyle="1">
    <w:name w:val="ListLabel 75"/>
    <w:qFormat/>
    <w:rPr>
      <w:rFonts w:cs="Courier New"/>
    </w:rPr>
  </w:style>
  <w:style w:type="character" w:styleId="ListLabel76" w:customStyle="1">
    <w:name w:val="ListLabel 76"/>
    <w:qFormat/>
    <w:rPr>
      <w:rFonts w:cs="Wingdings"/>
    </w:rPr>
  </w:style>
  <w:style w:type="character" w:styleId="ListLabel77" w:customStyle="1">
    <w:name w:val="ListLabel 77"/>
    <w:qFormat/>
    <w:rPr>
      <w:rFonts w:cs="Symbol"/>
    </w:rPr>
  </w:style>
  <w:style w:type="character" w:styleId="ListLabel78" w:customStyle="1">
    <w:name w:val="ListLabel 78"/>
    <w:qFormat/>
    <w:rPr>
      <w:rFonts w:cs="Courier New"/>
    </w:rPr>
  </w:style>
  <w:style w:type="character" w:styleId="ListLabel79" w:customStyle="1">
    <w:name w:val="ListLabel 79"/>
    <w:qFormat/>
    <w:rPr>
      <w:rFonts w:cs="Wingdings"/>
    </w:rPr>
  </w:style>
  <w:style w:type="character" w:styleId="ListLabel80" w:customStyle="1">
    <w:name w:val="ListLabel 80"/>
    <w:qFormat/>
    <w:rPr>
      <w:rFonts w:cs="Symbol"/>
    </w:rPr>
  </w:style>
  <w:style w:type="character" w:styleId="ListLabel81" w:customStyle="1">
    <w:name w:val="ListLabel 81"/>
    <w:qFormat/>
    <w:rPr>
      <w:rFonts w:cs="Courier New"/>
    </w:rPr>
  </w:style>
  <w:style w:type="character" w:styleId="ListLabel82" w:customStyle="1">
    <w:name w:val="ListLabel 82"/>
    <w:qFormat/>
    <w:rPr>
      <w:rFonts w:cs="Wingdings"/>
    </w:rPr>
  </w:style>
  <w:style w:type="character" w:styleId="ListLabel83" w:customStyle="1">
    <w:name w:val="ListLabel 83"/>
    <w:qFormat/>
    <w:rPr>
      <w:rFonts w:cs="Symbol"/>
      <w:sz w:val="16"/>
    </w:rPr>
  </w:style>
  <w:style w:type="character" w:styleId="ListLabel84" w:customStyle="1">
    <w:name w:val="ListLabel 84"/>
    <w:qFormat/>
    <w:rPr>
      <w:rFonts w:cs="Courier New"/>
    </w:rPr>
  </w:style>
  <w:style w:type="character" w:styleId="ListLabel85" w:customStyle="1">
    <w:name w:val="ListLabel 85"/>
    <w:qFormat/>
    <w:rPr>
      <w:rFonts w:cs="Wingdings"/>
    </w:rPr>
  </w:style>
  <w:style w:type="character" w:styleId="ListLabel86" w:customStyle="1">
    <w:name w:val="ListLabel 86"/>
    <w:qFormat/>
    <w:rPr>
      <w:rFonts w:cs="Symbol"/>
    </w:rPr>
  </w:style>
  <w:style w:type="character" w:styleId="ListLabel87" w:customStyle="1">
    <w:name w:val="ListLabel 87"/>
    <w:qFormat/>
    <w:rPr>
      <w:rFonts w:cs="Courier New"/>
    </w:rPr>
  </w:style>
  <w:style w:type="character" w:styleId="ListLabel88" w:customStyle="1">
    <w:name w:val="ListLabel 88"/>
    <w:qFormat/>
    <w:rPr>
      <w:rFonts w:cs="Wingdings"/>
    </w:rPr>
  </w:style>
  <w:style w:type="character" w:styleId="ListLabel89" w:customStyle="1">
    <w:name w:val="ListLabel 89"/>
    <w:qFormat/>
    <w:rPr>
      <w:rFonts w:cs="Symbol"/>
    </w:rPr>
  </w:style>
  <w:style w:type="character" w:styleId="ListLabel90" w:customStyle="1">
    <w:name w:val="ListLabel 90"/>
    <w:qFormat/>
    <w:rPr>
      <w:rFonts w:cs="Courier New"/>
    </w:rPr>
  </w:style>
  <w:style w:type="character" w:styleId="ListLabel91" w:customStyle="1">
    <w:name w:val="ListLabel 91"/>
    <w:qFormat/>
    <w:rPr>
      <w:rFonts w:cs="Wingdings"/>
    </w:rPr>
  </w:style>
  <w:style w:type="character" w:styleId="ListLabel92" w:customStyle="1">
    <w:name w:val="ListLabel 92"/>
    <w:qFormat/>
    <w:rPr>
      <w:rFonts w:cs="Symbol"/>
      <w:sz w:val="16"/>
    </w:rPr>
  </w:style>
  <w:style w:type="character" w:styleId="ListLabel93" w:customStyle="1">
    <w:name w:val="ListLabel 93"/>
    <w:qFormat/>
    <w:rPr>
      <w:rFonts w:cs="Courier New"/>
    </w:rPr>
  </w:style>
  <w:style w:type="character" w:styleId="ListLabel94" w:customStyle="1">
    <w:name w:val="ListLabel 94"/>
    <w:qFormat/>
    <w:rPr>
      <w:rFonts w:cs="Wingdings"/>
    </w:rPr>
  </w:style>
  <w:style w:type="character" w:styleId="ListLabel95" w:customStyle="1">
    <w:name w:val="ListLabel 95"/>
    <w:qFormat/>
    <w:rPr>
      <w:rFonts w:cs="Symbol"/>
    </w:rPr>
  </w:style>
  <w:style w:type="character" w:styleId="ListLabel96" w:customStyle="1">
    <w:name w:val="ListLabel 96"/>
    <w:qFormat/>
    <w:rPr>
      <w:rFonts w:cs="Courier New"/>
    </w:rPr>
  </w:style>
  <w:style w:type="character" w:styleId="ListLabel97" w:customStyle="1">
    <w:name w:val="ListLabel 97"/>
    <w:qFormat/>
    <w:rPr>
      <w:rFonts w:cs="Wingdings"/>
    </w:rPr>
  </w:style>
  <w:style w:type="character" w:styleId="ListLabel98" w:customStyle="1">
    <w:name w:val="ListLabel 98"/>
    <w:qFormat/>
    <w:rPr>
      <w:rFonts w:cs="Symbol"/>
    </w:rPr>
  </w:style>
  <w:style w:type="character" w:styleId="ListLabel99" w:customStyle="1">
    <w:name w:val="ListLabel 99"/>
    <w:qFormat/>
    <w:rPr>
      <w:rFonts w:cs="Courier New"/>
    </w:rPr>
  </w:style>
  <w:style w:type="character" w:styleId="ListLabel100" w:customStyle="1">
    <w:name w:val="ListLabel 100"/>
    <w:qFormat/>
    <w:rPr>
      <w:rFonts w:cs="Wingdings"/>
    </w:rPr>
  </w:style>
  <w:style w:type="character" w:styleId="ListLabel101" w:customStyle="1">
    <w:name w:val="ListLabel 101"/>
    <w:qFormat/>
    <w:rPr>
      <w:rFonts w:cs="Arial"/>
      <w:b/>
      <w:bCs/>
      <w:i w:val="false"/>
      <w:iCs w:val="false"/>
      <w:sz w:val="24"/>
      <w:szCs w:val="24"/>
    </w:rPr>
  </w:style>
  <w:style w:type="character" w:styleId="ListLabel102" w:customStyle="1">
    <w:name w:val="ListLabel 102"/>
    <w:qFormat/>
    <w:rPr>
      <w:b/>
      <w:bCs/>
      <w:i w:val="false"/>
      <w:iCs w:val="false"/>
    </w:rPr>
  </w:style>
  <w:style w:type="character" w:styleId="ListLabel103" w:customStyle="1">
    <w:name w:val="ListLabel 103"/>
    <w:qFormat/>
    <w:rPr>
      <w:b w:val="false"/>
      <w:bCs w:val="false"/>
      <w:i w:val="false"/>
      <w:iCs w:val="false"/>
      <w:sz w:val="16"/>
    </w:rPr>
  </w:style>
  <w:style w:type="character" w:styleId="ListLabel104" w:customStyle="1">
    <w:name w:val="ListLabel 104"/>
    <w:qFormat/>
    <w:rPr>
      <w:b w:val="false"/>
      <w:bCs w:val="false"/>
      <w:i w:val="false"/>
      <w:iCs w:val="false"/>
      <w:sz w:val="18"/>
    </w:rPr>
  </w:style>
  <w:style w:type="character" w:styleId="ListLabel105" w:customStyle="1">
    <w:name w:val="ListLabel 105"/>
    <w:qFormat/>
    <w:rPr>
      <w:rFonts w:cs="Symbol"/>
      <w:b/>
      <w:sz w:val="16"/>
    </w:rPr>
  </w:style>
  <w:style w:type="character" w:styleId="ListLabel106" w:customStyle="1">
    <w:name w:val="ListLabel 106"/>
    <w:qFormat/>
    <w:rPr>
      <w:rFonts w:cs="Courier New"/>
    </w:rPr>
  </w:style>
  <w:style w:type="character" w:styleId="ListLabel107" w:customStyle="1">
    <w:name w:val="ListLabel 107"/>
    <w:qFormat/>
    <w:rPr>
      <w:rFonts w:cs="Wingdings"/>
    </w:rPr>
  </w:style>
  <w:style w:type="character" w:styleId="ListLabel108" w:customStyle="1">
    <w:name w:val="ListLabel 108"/>
    <w:qFormat/>
    <w:rPr>
      <w:rFonts w:cs="Symbol"/>
    </w:rPr>
  </w:style>
  <w:style w:type="character" w:styleId="ListLabel109" w:customStyle="1">
    <w:name w:val="ListLabel 109"/>
    <w:qFormat/>
    <w:rPr>
      <w:rFonts w:cs="Courier New"/>
    </w:rPr>
  </w:style>
  <w:style w:type="character" w:styleId="ListLabel110" w:customStyle="1">
    <w:name w:val="ListLabel 110"/>
    <w:qFormat/>
    <w:rPr>
      <w:rFonts w:cs="Wingdings"/>
    </w:rPr>
  </w:style>
  <w:style w:type="character" w:styleId="ListLabel111" w:customStyle="1">
    <w:name w:val="ListLabel 111"/>
    <w:qFormat/>
    <w:rPr>
      <w:rFonts w:cs="Symbol"/>
    </w:rPr>
  </w:style>
  <w:style w:type="character" w:styleId="ListLabel112" w:customStyle="1">
    <w:name w:val="ListLabel 112"/>
    <w:qFormat/>
    <w:rPr>
      <w:rFonts w:cs="Courier New"/>
    </w:rPr>
  </w:style>
  <w:style w:type="character" w:styleId="ListLabel113" w:customStyle="1">
    <w:name w:val="ListLabel 113"/>
    <w:qFormat/>
    <w:rPr>
      <w:rFonts w:cs="Wingdings"/>
    </w:rPr>
  </w:style>
  <w:style w:type="character" w:styleId="ListLabel114" w:customStyle="1">
    <w:name w:val="ListLabel 114"/>
    <w:qFormat/>
    <w:rPr>
      <w:rFonts w:cs="Symbol"/>
      <w:sz w:val="16"/>
    </w:rPr>
  </w:style>
  <w:style w:type="character" w:styleId="ListLabel115" w:customStyle="1">
    <w:name w:val="ListLabel 115"/>
    <w:qFormat/>
    <w:rPr>
      <w:rFonts w:cs="Courier New"/>
    </w:rPr>
  </w:style>
  <w:style w:type="character" w:styleId="ListLabel116" w:customStyle="1">
    <w:name w:val="ListLabel 116"/>
    <w:qFormat/>
    <w:rPr>
      <w:rFonts w:cs="Wingdings"/>
    </w:rPr>
  </w:style>
  <w:style w:type="character" w:styleId="ListLabel117" w:customStyle="1">
    <w:name w:val="ListLabel 117"/>
    <w:qFormat/>
    <w:rPr>
      <w:rFonts w:cs="Symbol"/>
    </w:rPr>
  </w:style>
  <w:style w:type="character" w:styleId="ListLabel118" w:customStyle="1">
    <w:name w:val="ListLabel 118"/>
    <w:qFormat/>
    <w:rPr>
      <w:rFonts w:cs="Courier New"/>
    </w:rPr>
  </w:style>
  <w:style w:type="character" w:styleId="ListLabel119" w:customStyle="1">
    <w:name w:val="ListLabel 119"/>
    <w:qFormat/>
    <w:rPr>
      <w:rFonts w:cs="Wingdings"/>
    </w:rPr>
  </w:style>
  <w:style w:type="character" w:styleId="ListLabel120" w:customStyle="1">
    <w:name w:val="ListLabel 120"/>
    <w:qFormat/>
    <w:rPr>
      <w:rFonts w:cs="Symbol"/>
    </w:rPr>
  </w:style>
  <w:style w:type="character" w:styleId="ListLabel121" w:customStyle="1">
    <w:name w:val="ListLabel 121"/>
    <w:qFormat/>
    <w:rPr>
      <w:rFonts w:cs="Courier New"/>
    </w:rPr>
  </w:style>
  <w:style w:type="character" w:styleId="ListLabel122" w:customStyle="1">
    <w:name w:val="ListLabel 122"/>
    <w:qFormat/>
    <w:rPr>
      <w:rFonts w:cs="Wingdings"/>
    </w:rPr>
  </w:style>
  <w:style w:type="character" w:styleId="ListLabel123" w:customStyle="1">
    <w:name w:val="ListLabel 123"/>
    <w:qFormat/>
    <w:rPr>
      <w:rFonts w:cs="Symbol"/>
      <w:sz w:val="16"/>
    </w:rPr>
  </w:style>
  <w:style w:type="character" w:styleId="ListLabel124" w:customStyle="1">
    <w:name w:val="ListLabel 124"/>
    <w:qFormat/>
    <w:rPr>
      <w:rFonts w:cs="Courier New"/>
    </w:rPr>
  </w:style>
  <w:style w:type="character" w:styleId="ListLabel125" w:customStyle="1">
    <w:name w:val="ListLabel 125"/>
    <w:qFormat/>
    <w:rPr>
      <w:rFonts w:cs="Wingdings"/>
    </w:rPr>
  </w:style>
  <w:style w:type="character" w:styleId="ListLabel126" w:customStyle="1">
    <w:name w:val="ListLabel 126"/>
    <w:qFormat/>
    <w:rPr>
      <w:rFonts w:cs="Symbol"/>
    </w:rPr>
  </w:style>
  <w:style w:type="character" w:styleId="ListLabel127" w:customStyle="1">
    <w:name w:val="ListLabel 127"/>
    <w:qFormat/>
    <w:rPr>
      <w:rFonts w:cs="Courier New"/>
    </w:rPr>
  </w:style>
  <w:style w:type="character" w:styleId="ListLabel128" w:customStyle="1">
    <w:name w:val="ListLabel 128"/>
    <w:qFormat/>
    <w:rPr>
      <w:rFonts w:cs="Wingdings"/>
    </w:rPr>
  </w:style>
  <w:style w:type="character" w:styleId="ListLabel129" w:customStyle="1">
    <w:name w:val="ListLabel 129"/>
    <w:qFormat/>
    <w:rPr>
      <w:rFonts w:cs="Symbol"/>
    </w:rPr>
  </w:style>
  <w:style w:type="character" w:styleId="ListLabel130" w:customStyle="1">
    <w:name w:val="ListLabel 130"/>
    <w:qFormat/>
    <w:rPr>
      <w:rFonts w:cs="Courier New"/>
    </w:rPr>
  </w:style>
  <w:style w:type="character" w:styleId="ListLabel131" w:customStyle="1">
    <w:name w:val="ListLabel 131"/>
    <w:qFormat/>
    <w:rPr>
      <w:rFonts w:cs="Wingdings"/>
    </w:rPr>
  </w:style>
  <w:style w:type="character" w:styleId="ListLabel132" w:customStyle="1">
    <w:name w:val="ListLabel 132"/>
    <w:qFormat/>
    <w:rPr>
      <w:rFonts w:cs="Arial"/>
      <w:b/>
      <w:bCs/>
      <w:i w:val="false"/>
      <w:iCs w:val="false"/>
      <w:sz w:val="24"/>
      <w:szCs w:val="24"/>
    </w:rPr>
  </w:style>
  <w:style w:type="character" w:styleId="ListLabel133" w:customStyle="1">
    <w:name w:val="ListLabel 133"/>
    <w:qFormat/>
    <w:rPr>
      <w:b/>
      <w:bCs/>
      <w:i w:val="false"/>
      <w:iCs w:val="false"/>
    </w:rPr>
  </w:style>
  <w:style w:type="character" w:styleId="ListLabel134" w:customStyle="1">
    <w:name w:val="ListLabel 134"/>
    <w:qFormat/>
    <w:rPr>
      <w:b w:val="false"/>
      <w:bCs w:val="false"/>
      <w:i w:val="false"/>
      <w:iCs w:val="false"/>
      <w:sz w:val="16"/>
    </w:rPr>
  </w:style>
  <w:style w:type="character" w:styleId="ListLabel135" w:customStyle="1">
    <w:name w:val="ListLabel 135"/>
    <w:qFormat/>
    <w:rPr>
      <w:b w:val="false"/>
      <w:bCs w:val="false"/>
      <w:i w:val="false"/>
      <w:iCs w:val="false"/>
      <w:sz w:val="18"/>
    </w:rPr>
  </w:style>
  <w:style w:type="character" w:styleId="ListLabel136" w:customStyle="1">
    <w:name w:val="ListLabel 136"/>
    <w:qFormat/>
    <w:rPr>
      <w:rFonts w:cs="Symbol"/>
      <w:b/>
      <w:sz w:val="16"/>
    </w:rPr>
  </w:style>
  <w:style w:type="character" w:styleId="ListLabel137" w:customStyle="1">
    <w:name w:val="ListLabel 137"/>
    <w:qFormat/>
    <w:rPr>
      <w:rFonts w:cs="Courier New"/>
    </w:rPr>
  </w:style>
  <w:style w:type="character" w:styleId="ListLabel138" w:customStyle="1">
    <w:name w:val="ListLabel 138"/>
    <w:qFormat/>
    <w:rPr>
      <w:rFonts w:cs="Wingdings"/>
    </w:rPr>
  </w:style>
  <w:style w:type="character" w:styleId="ListLabel139" w:customStyle="1">
    <w:name w:val="ListLabel 139"/>
    <w:qFormat/>
    <w:rPr>
      <w:rFonts w:cs="Symbol"/>
    </w:rPr>
  </w:style>
  <w:style w:type="character" w:styleId="ListLabel140" w:customStyle="1">
    <w:name w:val="ListLabel 140"/>
    <w:qFormat/>
    <w:rPr>
      <w:rFonts w:cs="Courier New"/>
    </w:rPr>
  </w:style>
  <w:style w:type="character" w:styleId="ListLabel141" w:customStyle="1">
    <w:name w:val="ListLabel 141"/>
    <w:qFormat/>
    <w:rPr>
      <w:rFonts w:cs="Wingdings"/>
    </w:rPr>
  </w:style>
  <w:style w:type="character" w:styleId="ListLabel142" w:customStyle="1">
    <w:name w:val="ListLabel 142"/>
    <w:qFormat/>
    <w:rPr>
      <w:rFonts w:cs="Symbol"/>
    </w:rPr>
  </w:style>
  <w:style w:type="character" w:styleId="ListLabel143" w:customStyle="1">
    <w:name w:val="ListLabel 143"/>
    <w:qFormat/>
    <w:rPr>
      <w:rFonts w:cs="Courier New"/>
    </w:rPr>
  </w:style>
  <w:style w:type="character" w:styleId="ListLabel144" w:customStyle="1">
    <w:name w:val="ListLabel 144"/>
    <w:qFormat/>
    <w:rPr>
      <w:rFonts w:cs="Wingdings"/>
    </w:rPr>
  </w:style>
  <w:style w:type="character" w:styleId="ListLabel145" w:customStyle="1">
    <w:name w:val="ListLabel 145"/>
    <w:qFormat/>
    <w:rPr>
      <w:rFonts w:cs="Symbol"/>
      <w:sz w:val="16"/>
    </w:rPr>
  </w:style>
  <w:style w:type="character" w:styleId="ListLabel146" w:customStyle="1">
    <w:name w:val="ListLabel 146"/>
    <w:qFormat/>
    <w:rPr>
      <w:rFonts w:cs="Courier New"/>
    </w:rPr>
  </w:style>
  <w:style w:type="character" w:styleId="ListLabel147" w:customStyle="1">
    <w:name w:val="ListLabel 147"/>
    <w:qFormat/>
    <w:rPr>
      <w:rFonts w:cs="Wingdings"/>
    </w:rPr>
  </w:style>
  <w:style w:type="character" w:styleId="ListLabel148" w:customStyle="1">
    <w:name w:val="ListLabel 148"/>
    <w:qFormat/>
    <w:rPr>
      <w:rFonts w:cs="Symbol"/>
    </w:rPr>
  </w:style>
  <w:style w:type="character" w:styleId="ListLabel149" w:customStyle="1">
    <w:name w:val="ListLabel 149"/>
    <w:qFormat/>
    <w:rPr>
      <w:rFonts w:cs="Courier New"/>
    </w:rPr>
  </w:style>
  <w:style w:type="character" w:styleId="ListLabel150" w:customStyle="1">
    <w:name w:val="ListLabel 150"/>
    <w:qFormat/>
    <w:rPr>
      <w:rFonts w:cs="Wingdings"/>
    </w:rPr>
  </w:style>
  <w:style w:type="character" w:styleId="ListLabel151" w:customStyle="1">
    <w:name w:val="ListLabel 151"/>
    <w:qFormat/>
    <w:rPr>
      <w:rFonts w:cs="Symbol"/>
    </w:rPr>
  </w:style>
  <w:style w:type="character" w:styleId="ListLabel152" w:customStyle="1">
    <w:name w:val="ListLabel 152"/>
    <w:qFormat/>
    <w:rPr>
      <w:rFonts w:cs="Courier New"/>
    </w:rPr>
  </w:style>
  <w:style w:type="character" w:styleId="ListLabel153" w:customStyle="1">
    <w:name w:val="ListLabel 153"/>
    <w:qFormat/>
    <w:rPr>
      <w:rFonts w:cs="Wingdings"/>
    </w:rPr>
  </w:style>
  <w:style w:type="character" w:styleId="ListLabel154" w:customStyle="1">
    <w:name w:val="ListLabel 154"/>
    <w:qFormat/>
    <w:rPr>
      <w:rFonts w:cs="Symbol"/>
      <w:sz w:val="16"/>
    </w:rPr>
  </w:style>
  <w:style w:type="character" w:styleId="ListLabel155" w:customStyle="1">
    <w:name w:val="ListLabel 155"/>
    <w:qFormat/>
    <w:rPr>
      <w:rFonts w:cs="Courier New"/>
    </w:rPr>
  </w:style>
  <w:style w:type="character" w:styleId="ListLabel156" w:customStyle="1">
    <w:name w:val="ListLabel 156"/>
    <w:qFormat/>
    <w:rPr>
      <w:rFonts w:cs="Wingdings"/>
    </w:rPr>
  </w:style>
  <w:style w:type="character" w:styleId="ListLabel157" w:customStyle="1">
    <w:name w:val="ListLabel 157"/>
    <w:qFormat/>
    <w:rPr>
      <w:rFonts w:cs="Symbol"/>
    </w:rPr>
  </w:style>
  <w:style w:type="character" w:styleId="ListLabel158" w:customStyle="1">
    <w:name w:val="ListLabel 158"/>
    <w:qFormat/>
    <w:rPr>
      <w:rFonts w:cs="Courier New"/>
    </w:rPr>
  </w:style>
  <w:style w:type="character" w:styleId="ListLabel159" w:customStyle="1">
    <w:name w:val="ListLabel 159"/>
    <w:qFormat/>
    <w:rPr>
      <w:rFonts w:cs="Wingdings"/>
    </w:rPr>
  </w:style>
  <w:style w:type="character" w:styleId="ListLabel160" w:customStyle="1">
    <w:name w:val="ListLabel 160"/>
    <w:qFormat/>
    <w:rPr>
      <w:rFonts w:cs="Symbol"/>
    </w:rPr>
  </w:style>
  <w:style w:type="character" w:styleId="ListLabel161" w:customStyle="1">
    <w:name w:val="ListLabel 161"/>
    <w:qFormat/>
    <w:rPr>
      <w:rFonts w:cs="Courier New"/>
    </w:rPr>
  </w:style>
  <w:style w:type="character" w:styleId="ListLabel162" w:customStyle="1">
    <w:name w:val="ListLabel 162"/>
    <w:qFormat/>
    <w:rPr>
      <w:rFonts w:cs="Wingdings"/>
    </w:rPr>
  </w:style>
  <w:style w:type="character" w:styleId="ListLabel163" w:customStyle="1">
    <w:name w:val="ListLabel 163"/>
    <w:qFormat/>
    <w:rPr>
      <w:rFonts w:cs="Arial"/>
      <w:b/>
      <w:bCs/>
      <w:i w:val="false"/>
      <w:iCs w:val="false"/>
      <w:sz w:val="24"/>
      <w:szCs w:val="24"/>
    </w:rPr>
  </w:style>
  <w:style w:type="character" w:styleId="ListLabel164" w:customStyle="1">
    <w:name w:val="ListLabel 164"/>
    <w:qFormat/>
    <w:rPr>
      <w:b/>
      <w:bCs/>
      <w:i w:val="false"/>
      <w:iCs w:val="false"/>
    </w:rPr>
  </w:style>
  <w:style w:type="character" w:styleId="ListLabel165" w:customStyle="1">
    <w:name w:val="ListLabel 165"/>
    <w:qFormat/>
    <w:rPr>
      <w:b w:val="false"/>
      <w:bCs w:val="false"/>
      <w:i w:val="false"/>
      <w:iCs w:val="false"/>
      <w:sz w:val="16"/>
    </w:rPr>
  </w:style>
  <w:style w:type="character" w:styleId="ListLabel166" w:customStyle="1">
    <w:name w:val="ListLabel 166"/>
    <w:qFormat/>
    <w:rPr>
      <w:b w:val="false"/>
      <w:bCs w:val="false"/>
      <w:i w:val="false"/>
      <w:iCs w:val="false"/>
      <w:sz w:val="18"/>
    </w:rPr>
  </w:style>
  <w:style w:type="character" w:styleId="ListLabel167" w:customStyle="1">
    <w:name w:val="ListLabel 167"/>
    <w:qFormat/>
    <w:rPr>
      <w:rFonts w:cs="Symbol"/>
      <w:b/>
      <w:sz w:val="16"/>
    </w:rPr>
  </w:style>
  <w:style w:type="character" w:styleId="ListLabel168" w:customStyle="1">
    <w:name w:val="ListLabel 168"/>
    <w:qFormat/>
    <w:rPr>
      <w:rFonts w:cs="Courier New"/>
    </w:rPr>
  </w:style>
  <w:style w:type="character" w:styleId="ListLabel169" w:customStyle="1">
    <w:name w:val="ListLabel 169"/>
    <w:qFormat/>
    <w:rPr>
      <w:rFonts w:cs="Wingdings"/>
    </w:rPr>
  </w:style>
  <w:style w:type="character" w:styleId="ListLabel170" w:customStyle="1">
    <w:name w:val="ListLabel 170"/>
    <w:qFormat/>
    <w:rPr>
      <w:rFonts w:cs="Symbol"/>
    </w:rPr>
  </w:style>
  <w:style w:type="character" w:styleId="ListLabel171" w:customStyle="1">
    <w:name w:val="ListLabel 171"/>
    <w:qFormat/>
    <w:rPr>
      <w:rFonts w:cs="Courier New"/>
    </w:rPr>
  </w:style>
  <w:style w:type="character" w:styleId="ListLabel172" w:customStyle="1">
    <w:name w:val="ListLabel 172"/>
    <w:qFormat/>
    <w:rPr>
      <w:rFonts w:cs="Wingdings"/>
    </w:rPr>
  </w:style>
  <w:style w:type="character" w:styleId="ListLabel173" w:customStyle="1">
    <w:name w:val="ListLabel 173"/>
    <w:qFormat/>
    <w:rPr>
      <w:rFonts w:cs="Symbol"/>
    </w:rPr>
  </w:style>
  <w:style w:type="character" w:styleId="ListLabel174" w:customStyle="1">
    <w:name w:val="ListLabel 174"/>
    <w:qFormat/>
    <w:rPr>
      <w:rFonts w:cs="Courier New"/>
    </w:rPr>
  </w:style>
  <w:style w:type="character" w:styleId="ListLabel175" w:customStyle="1">
    <w:name w:val="ListLabel 175"/>
    <w:qFormat/>
    <w:rPr>
      <w:rFonts w:cs="Wingdings"/>
    </w:rPr>
  </w:style>
  <w:style w:type="character" w:styleId="ListLabel176" w:customStyle="1">
    <w:name w:val="ListLabel 176"/>
    <w:qFormat/>
    <w:rPr>
      <w:rFonts w:cs="Symbol"/>
      <w:sz w:val="16"/>
    </w:rPr>
  </w:style>
  <w:style w:type="character" w:styleId="ListLabel177" w:customStyle="1">
    <w:name w:val="ListLabel 177"/>
    <w:qFormat/>
    <w:rPr>
      <w:rFonts w:cs="Courier New"/>
    </w:rPr>
  </w:style>
  <w:style w:type="character" w:styleId="ListLabel178" w:customStyle="1">
    <w:name w:val="ListLabel 178"/>
    <w:qFormat/>
    <w:rPr>
      <w:rFonts w:cs="Wingdings"/>
    </w:rPr>
  </w:style>
  <w:style w:type="character" w:styleId="ListLabel179" w:customStyle="1">
    <w:name w:val="ListLabel 179"/>
    <w:qFormat/>
    <w:rPr>
      <w:rFonts w:cs="Symbol"/>
    </w:rPr>
  </w:style>
  <w:style w:type="character" w:styleId="ListLabel180" w:customStyle="1">
    <w:name w:val="ListLabel 180"/>
    <w:qFormat/>
    <w:rPr>
      <w:rFonts w:cs="Courier New"/>
    </w:rPr>
  </w:style>
  <w:style w:type="character" w:styleId="ListLabel181" w:customStyle="1">
    <w:name w:val="ListLabel 181"/>
    <w:qFormat/>
    <w:rPr>
      <w:rFonts w:cs="Wingdings"/>
    </w:rPr>
  </w:style>
  <w:style w:type="character" w:styleId="ListLabel182" w:customStyle="1">
    <w:name w:val="ListLabel 182"/>
    <w:qFormat/>
    <w:rPr>
      <w:rFonts w:cs="Symbol"/>
    </w:rPr>
  </w:style>
  <w:style w:type="character" w:styleId="ListLabel183" w:customStyle="1">
    <w:name w:val="ListLabel 183"/>
    <w:qFormat/>
    <w:rPr>
      <w:rFonts w:cs="Courier New"/>
    </w:rPr>
  </w:style>
  <w:style w:type="character" w:styleId="ListLabel184" w:customStyle="1">
    <w:name w:val="ListLabel 184"/>
    <w:qFormat/>
    <w:rPr>
      <w:rFonts w:cs="Wingdings"/>
    </w:rPr>
  </w:style>
  <w:style w:type="character" w:styleId="ListLabel185" w:customStyle="1">
    <w:name w:val="ListLabel 185"/>
    <w:qFormat/>
    <w:rPr>
      <w:rFonts w:cs="Symbol"/>
      <w:sz w:val="16"/>
    </w:rPr>
  </w:style>
  <w:style w:type="character" w:styleId="ListLabel186" w:customStyle="1">
    <w:name w:val="ListLabel 186"/>
    <w:qFormat/>
    <w:rPr>
      <w:rFonts w:cs="Courier New"/>
    </w:rPr>
  </w:style>
  <w:style w:type="character" w:styleId="ListLabel187" w:customStyle="1">
    <w:name w:val="ListLabel 187"/>
    <w:qFormat/>
    <w:rPr>
      <w:rFonts w:cs="Wingdings"/>
    </w:rPr>
  </w:style>
  <w:style w:type="character" w:styleId="ListLabel188" w:customStyle="1">
    <w:name w:val="ListLabel 188"/>
    <w:qFormat/>
    <w:rPr>
      <w:rFonts w:cs="Symbol"/>
    </w:rPr>
  </w:style>
  <w:style w:type="character" w:styleId="ListLabel189" w:customStyle="1">
    <w:name w:val="ListLabel 189"/>
    <w:qFormat/>
    <w:rPr>
      <w:rFonts w:cs="Courier New"/>
    </w:rPr>
  </w:style>
  <w:style w:type="character" w:styleId="ListLabel190" w:customStyle="1">
    <w:name w:val="ListLabel 190"/>
    <w:qFormat/>
    <w:rPr>
      <w:rFonts w:cs="Wingdings"/>
    </w:rPr>
  </w:style>
  <w:style w:type="character" w:styleId="ListLabel191" w:customStyle="1">
    <w:name w:val="ListLabel 191"/>
    <w:qFormat/>
    <w:rPr>
      <w:rFonts w:cs="Symbol"/>
    </w:rPr>
  </w:style>
  <w:style w:type="character" w:styleId="ListLabel192" w:customStyle="1">
    <w:name w:val="ListLabel 192"/>
    <w:qFormat/>
    <w:rPr>
      <w:rFonts w:cs="Courier New"/>
    </w:rPr>
  </w:style>
  <w:style w:type="character" w:styleId="ListLabel193" w:customStyle="1">
    <w:name w:val="ListLabel 193"/>
    <w:qFormat/>
    <w:rPr>
      <w:rFonts w:cs="Wingdings"/>
    </w:rPr>
  </w:style>
  <w:style w:type="character" w:styleId="ListLabel194" w:customStyle="1">
    <w:name w:val="ListLabel 194"/>
    <w:qFormat/>
    <w:rPr>
      <w:sz w:val="18"/>
      <w:szCs w:val="16"/>
    </w:rPr>
  </w:style>
  <w:style w:type="character" w:styleId="ListLabel195" w:customStyle="1">
    <w:name w:val="ListLabel 195"/>
    <w:qFormat/>
    <w:rPr>
      <w:b w:val="false"/>
      <w:bCs w:val="false"/>
      <w:sz w:val="18"/>
      <w:szCs w:val="16"/>
    </w:rPr>
  </w:style>
  <w:style w:type="character" w:styleId="ListLabel196" w:customStyle="1">
    <w:name w:val="ListLabel 196"/>
    <w:qFormat/>
    <w:rPr>
      <w:sz w:val="16"/>
      <w:szCs w:val="16"/>
    </w:rPr>
  </w:style>
  <w:style w:type="character" w:styleId="ListLabel197" w:customStyle="1">
    <w:name w:val="ListLabel 197"/>
    <w:qFormat/>
    <w:rPr>
      <w:rFonts w:cs="Arial"/>
      <w:b/>
      <w:bCs/>
      <w:i w:val="false"/>
      <w:iCs w:val="false"/>
      <w:sz w:val="24"/>
      <w:szCs w:val="24"/>
    </w:rPr>
  </w:style>
  <w:style w:type="character" w:styleId="ListLabel198" w:customStyle="1">
    <w:name w:val="ListLabel 198"/>
    <w:qFormat/>
    <w:rPr>
      <w:b/>
      <w:bCs/>
      <w:i w:val="false"/>
      <w:iCs w:val="false"/>
    </w:rPr>
  </w:style>
  <w:style w:type="character" w:styleId="ListLabel199" w:customStyle="1">
    <w:name w:val="ListLabel 199"/>
    <w:qFormat/>
    <w:rPr>
      <w:b w:val="false"/>
      <w:bCs w:val="false"/>
      <w:i w:val="false"/>
      <w:iCs w:val="false"/>
      <w:sz w:val="16"/>
    </w:rPr>
  </w:style>
  <w:style w:type="character" w:styleId="ListLabel200" w:customStyle="1">
    <w:name w:val="ListLabel 200"/>
    <w:qFormat/>
    <w:rPr>
      <w:b w:val="false"/>
      <w:bCs w:val="false"/>
      <w:i w:val="false"/>
      <w:iCs w:val="false"/>
      <w:sz w:val="18"/>
    </w:rPr>
  </w:style>
  <w:style w:type="character" w:styleId="ListLabel201" w:customStyle="1">
    <w:name w:val="ListLabel 201"/>
    <w:qFormat/>
    <w:rPr>
      <w:rFonts w:cs="Symbol"/>
      <w:sz w:val="16"/>
    </w:rPr>
  </w:style>
  <w:style w:type="character" w:styleId="ListLabel202" w:customStyle="1">
    <w:name w:val="ListLabel 202"/>
    <w:qFormat/>
    <w:rPr>
      <w:rFonts w:cs="Courier New"/>
    </w:rPr>
  </w:style>
  <w:style w:type="character" w:styleId="ListLabel203" w:customStyle="1">
    <w:name w:val="ListLabel 203"/>
    <w:qFormat/>
    <w:rPr>
      <w:rFonts w:cs="Wingdings"/>
    </w:rPr>
  </w:style>
  <w:style w:type="character" w:styleId="ListLabel204" w:customStyle="1">
    <w:name w:val="ListLabel 204"/>
    <w:qFormat/>
    <w:rPr>
      <w:rFonts w:cs="Symbol"/>
    </w:rPr>
  </w:style>
  <w:style w:type="character" w:styleId="ListLabel205" w:customStyle="1">
    <w:name w:val="ListLabel 205"/>
    <w:qFormat/>
    <w:rPr>
      <w:rFonts w:cs="Courier New"/>
    </w:rPr>
  </w:style>
  <w:style w:type="character" w:styleId="ListLabel206" w:customStyle="1">
    <w:name w:val="ListLabel 206"/>
    <w:qFormat/>
    <w:rPr>
      <w:rFonts w:cs="Wingdings"/>
    </w:rPr>
  </w:style>
  <w:style w:type="character" w:styleId="ListLabel207" w:customStyle="1">
    <w:name w:val="ListLabel 207"/>
    <w:qFormat/>
    <w:rPr>
      <w:rFonts w:cs="Symbol"/>
    </w:rPr>
  </w:style>
  <w:style w:type="character" w:styleId="ListLabel208" w:customStyle="1">
    <w:name w:val="ListLabel 208"/>
    <w:qFormat/>
    <w:rPr>
      <w:rFonts w:cs="Courier New"/>
    </w:rPr>
  </w:style>
  <w:style w:type="character" w:styleId="ListLabel209" w:customStyle="1">
    <w:name w:val="ListLabel 209"/>
    <w:qFormat/>
    <w:rPr>
      <w:rFonts w:cs="Wingdings"/>
    </w:rPr>
  </w:style>
  <w:style w:type="character" w:styleId="ListLabel210" w:customStyle="1">
    <w:name w:val="ListLabel 210"/>
    <w:qFormat/>
    <w:rPr>
      <w:sz w:val="18"/>
      <w:szCs w:val="16"/>
    </w:rPr>
  </w:style>
  <w:style w:type="character" w:styleId="ListLabel211" w:customStyle="1">
    <w:name w:val="ListLabel 211"/>
    <w:qFormat/>
    <w:rPr>
      <w:b w:val="false"/>
      <w:bCs w:val="false"/>
      <w:sz w:val="18"/>
      <w:szCs w:val="16"/>
    </w:rPr>
  </w:style>
  <w:style w:type="character" w:styleId="ListLabel212" w:customStyle="1">
    <w:name w:val="ListLabel 212"/>
    <w:qFormat/>
    <w:rPr>
      <w:rFonts w:cs="Arial"/>
      <w:b/>
      <w:bCs/>
      <w:i w:val="false"/>
      <w:iCs w:val="false"/>
      <w:sz w:val="24"/>
      <w:szCs w:val="24"/>
    </w:rPr>
  </w:style>
  <w:style w:type="character" w:styleId="ListLabel213" w:customStyle="1">
    <w:name w:val="ListLabel 213"/>
    <w:qFormat/>
    <w:rPr>
      <w:b/>
      <w:bCs/>
      <w:i w:val="false"/>
      <w:iCs w:val="false"/>
    </w:rPr>
  </w:style>
  <w:style w:type="character" w:styleId="ListLabel214" w:customStyle="1">
    <w:name w:val="ListLabel 214"/>
    <w:qFormat/>
    <w:rPr>
      <w:b w:val="false"/>
      <w:bCs w:val="false"/>
      <w:i w:val="false"/>
      <w:iCs w:val="false"/>
      <w:sz w:val="16"/>
    </w:rPr>
  </w:style>
  <w:style w:type="character" w:styleId="ListLabel215" w:customStyle="1">
    <w:name w:val="ListLabel 215"/>
    <w:qFormat/>
    <w:rPr>
      <w:b w:val="false"/>
      <w:bCs w:val="false"/>
      <w:i w:val="false"/>
      <w:iCs w:val="false"/>
      <w:sz w:val="18"/>
    </w:rPr>
  </w:style>
  <w:style w:type="character" w:styleId="ListLabel216" w:customStyle="1">
    <w:name w:val="ListLabel 216"/>
    <w:qFormat/>
    <w:rPr>
      <w:rFonts w:cs="Symbol"/>
      <w:sz w:val="16"/>
    </w:rPr>
  </w:style>
  <w:style w:type="character" w:styleId="ListLabel217" w:customStyle="1">
    <w:name w:val="ListLabel 217"/>
    <w:qFormat/>
    <w:rPr>
      <w:rFonts w:cs="Courier New"/>
    </w:rPr>
  </w:style>
  <w:style w:type="character" w:styleId="ListLabel218" w:customStyle="1">
    <w:name w:val="ListLabel 218"/>
    <w:qFormat/>
    <w:rPr>
      <w:rFonts w:cs="Wingdings"/>
    </w:rPr>
  </w:style>
  <w:style w:type="character" w:styleId="ListLabel219" w:customStyle="1">
    <w:name w:val="ListLabel 219"/>
    <w:qFormat/>
    <w:rPr>
      <w:rFonts w:cs="Symbol"/>
    </w:rPr>
  </w:style>
  <w:style w:type="character" w:styleId="ListLabel220" w:customStyle="1">
    <w:name w:val="ListLabel 220"/>
    <w:qFormat/>
    <w:rPr>
      <w:rFonts w:cs="Courier New"/>
    </w:rPr>
  </w:style>
  <w:style w:type="character" w:styleId="ListLabel221" w:customStyle="1">
    <w:name w:val="ListLabel 221"/>
    <w:qFormat/>
    <w:rPr>
      <w:rFonts w:cs="Wingdings"/>
    </w:rPr>
  </w:style>
  <w:style w:type="character" w:styleId="ListLabel222" w:customStyle="1">
    <w:name w:val="ListLabel 222"/>
    <w:qFormat/>
    <w:rPr>
      <w:rFonts w:cs="Symbol"/>
    </w:rPr>
  </w:style>
  <w:style w:type="character" w:styleId="ListLabel223" w:customStyle="1">
    <w:name w:val="ListLabel 223"/>
    <w:qFormat/>
    <w:rPr>
      <w:rFonts w:cs="Courier New"/>
    </w:rPr>
  </w:style>
  <w:style w:type="character" w:styleId="ListLabel224" w:customStyle="1">
    <w:name w:val="ListLabel 224"/>
    <w:qFormat/>
    <w:rPr>
      <w:rFonts w:cs="Wingdings"/>
    </w:rPr>
  </w:style>
  <w:style w:type="character" w:styleId="ListLabel225" w:customStyle="1">
    <w:name w:val="ListLabel 225"/>
    <w:qFormat/>
    <w:rPr>
      <w:sz w:val="18"/>
      <w:szCs w:val="16"/>
    </w:rPr>
  </w:style>
  <w:style w:type="character" w:styleId="ListLabel226" w:customStyle="1">
    <w:name w:val="ListLabel 226"/>
    <w:qFormat/>
    <w:rPr>
      <w:b w:val="false"/>
      <w:bCs w:val="false"/>
      <w:sz w:val="18"/>
      <w:szCs w:val="16"/>
    </w:rPr>
  </w:style>
  <w:style w:type="character" w:styleId="ListLabel227" w:customStyle="1">
    <w:name w:val="ListLabel 227"/>
    <w:qFormat/>
    <w:rPr>
      <w:rFonts w:cs="Arial"/>
      <w:b/>
      <w:bCs/>
      <w:i w:val="false"/>
      <w:iCs w:val="false"/>
      <w:sz w:val="24"/>
      <w:szCs w:val="24"/>
    </w:rPr>
  </w:style>
  <w:style w:type="character" w:styleId="ListLabel228" w:customStyle="1">
    <w:name w:val="ListLabel 228"/>
    <w:qFormat/>
    <w:rPr>
      <w:b/>
      <w:bCs/>
      <w:i w:val="false"/>
      <w:iCs w:val="false"/>
    </w:rPr>
  </w:style>
  <w:style w:type="character" w:styleId="ListLabel229" w:customStyle="1">
    <w:name w:val="ListLabel 229"/>
    <w:qFormat/>
    <w:rPr>
      <w:b w:val="false"/>
      <w:bCs w:val="false"/>
      <w:i w:val="false"/>
      <w:iCs w:val="false"/>
      <w:sz w:val="16"/>
    </w:rPr>
  </w:style>
  <w:style w:type="character" w:styleId="ListLabel230" w:customStyle="1">
    <w:name w:val="ListLabel 230"/>
    <w:qFormat/>
    <w:rPr>
      <w:b w:val="false"/>
      <w:bCs w:val="false"/>
      <w:i w:val="false"/>
      <w:iCs w:val="false"/>
      <w:sz w:val="18"/>
    </w:rPr>
  </w:style>
  <w:style w:type="character" w:styleId="ListLabel231" w:customStyle="1">
    <w:name w:val="ListLabel 231"/>
    <w:qFormat/>
    <w:rPr>
      <w:rFonts w:cs="Symbol"/>
      <w:sz w:val="16"/>
    </w:rPr>
  </w:style>
  <w:style w:type="character" w:styleId="ListLabel232" w:customStyle="1">
    <w:name w:val="ListLabel 232"/>
    <w:qFormat/>
    <w:rPr>
      <w:rFonts w:cs="Courier New"/>
    </w:rPr>
  </w:style>
  <w:style w:type="character" w:styleId="ListLabel233" w:customStyle="1">
    <w:name w:val="ListLabel 233"/>
    <w:qFormat/>
    <w:rPr>
      <w:rFonts w:cs="Wingdings"/>
    </w:rPr>
  </w:style>
  <w:style w:type="character" w:styleId="ListLabel234" w:customStyle="1">
    <w:name w:val="ListLabel 234"/>
    <w:qFormat/>
    <w:rPr>
      <w:rFonts w:cs="Symbol"/>
    </w:rPr>
  </w:style>
  <w:style w:type="character" w:styleId="ListLabel235" w:customStyle="1">
    <w:name w:val="ListLabel 235"/>
    <w:qFormat/>
    <w:rPr>
      <w:rFonts w:cs="Courier New"/>
    </w:rPr>
  </w:style>
  <w:style w:type="character" w:styleId="ListLabel236" w:customStyle="1">
    <w:name w:val="ListLabel 236"/>
    <w:qFormat/>
    <w:rPr>
      <w:rFonts w:cs="Wingdings"/>
    </w:rPr>
  </w:style>
  <w:style w:type="character" w:styleId="ListLabel237" w:customStyle="1">
    <w:name w:val="ListLabel 237"/>
    <w:qFormat/>
    <w:rPr>
      <w:rFonts w:cs="Symbol"/>
    </w:rPr>
  </w:style>
  <w:style w:type="character" w:styleId="ListLabel238" w:customStyle="1">
    <w:name w:val="ListLabel 238"/>
    <w:qFormat/>
    <w:rPr>
      <w:rFonts w:cs="Courier New"/>
    </w:rPr>
  </w:style>
  <w:style w:type="character" w:styleId="ListLabel239" w:customStyle="1">
    <w:name w:val="ListLabel 239"/>
    <w:qFormat/>
    <w:rPr>
      <w:rFonts w:cs="Wingdings"/>
    </w:rPr>
  </w:style>
  <w:style w:type="character" w:styleId="ListLabel240" w:customStyle="1">
    <w:name w:val="ListLabel 240"/>
    <w:qFormat/>
    <w:rPr>
      <w:sz w:val="18"/>
      <w:szCs w:val="16"/>
    </w:rPr>
  </w:style>
  <w:style w:type="character" w:styleId="ListLabel241" w:customStyle="1">
    <w:name w:val="ListLabel 241"/>
    <w:qFormat/>
    <w:rPr>
      <w:b w:val="false"/>
      <w:bCs w:val="false"/>
      <w:sz w:val="18"/>
      <w:szCs w:val="16"/>
    </w:rPr>
  </w:style>
  <w:style w:type="character" w:styleId="ListLabel242" w:customStyle="1">
    <w:name w:val="ListLabel 242"/>
    <w:qFormat/>
    <w:rPr>
      <w:rFonts w:cs="Arial"/>
      <w:b/>
      <w:bCs/>
      <w:i w:val="false"/>
      <w:iCs w:val="false"/>
      <w:sz w:val="24"/>
      <w:szCs w:val="24"/>
    </w:rPr>
  </w:style>
  <w:style w:type="character" w:styleId="ListLabel243" w:customStyle="1">
    <w:name w:val="ListLabel 243"/>
    <w:qFormat/>
    <w:rPr>
      <w:b/>
      <w:bCs/>
      <w:i w:val="false"/>
      <w:iCs w:val="false"/>
    </w:rPr>
  </w:style>
  <w:style w:type="character" w:styleId="ListLabel244" w:customStyle="1">
    <w:name w:val="ListLabel 244"/>
    <w:qFormat/>
    <w:rPr>
      <w:b w:val="false"/>
      <w:bCs w:val="false"/>
      <w:i w:val="false"/>
      <w:iCs w:val="false"/>
      <w:sz w:val="16"/>
    </w:rPr>
  </w:style>
  <w:style w:type="character" w:styleId="ListLabel245" w:customStyle="1">
    <w:name w:val="ListLabel 245"/>
    <w:qFormat/>
    <w:rPr>
      <w:b w:val="false"/>
      <w:bCs w:val="false"/>
      <w:i w:val="false"/>
      <w:iCs w:val="false"/>
      <w:sz w:val="18"/>
    </w:rPr>
  </w:style>
  <w:style w:type="character" w:styleId="ListLabel246" w:customStyle="1">
    <w:name w:val="ListLabel 246"/>
    <w:qFormat/>
    <w:rPr>
      <w:rFonts w:cs="Symbol"/>
      <w:sz w:val="16"/>
    </w:rPr>
  </w:style>
  <w:style w:type="character" w:styleId="ListLabel247" w:customStyle="1">
    <w:name w:val="ListLabel 247"/>
    <w:qFormat/>
    <w:rPr>
      <w:rFonts w:cs="Courier New"/>
    </w:rPr>
  </w:style>
  <w:style w:type="character" w:styleId="ListLabel248" w:customStyle="1">
    <w:name w:val="ListLabel 248"/>
    <w:qFormat/>
    <w:rPr>
      <w:rFonts w:cs="Wingdings"/>
    </w:rPr>
  </w:style>
  <w:style w:type="character" w:styleId="ListLabel249" w:customStyle="1">
    <w:name w:val="ListLabel 249"/>
    <w:qFormat/>
    <w:rPr>
      <w:rFonts w:cs="Symbol"/>
    </w:rPr>
  </w:style>
  <w:style w:type="character" w:styleId="ListLabel250" w:customStyle="1">
    <w:name w:val="ListLabel 250"/>
    <w:qFormat/>
    <w:rPr>
      <w:rFonts w:cs="Courier New"/>
    </w:rPr>
  </w:style>
  <w:style w:type="character" w:styleId="ListLabel251" w:customStyle="1">
    <w:name w:val="ListLabel 251"/>
    <w:qFormat/>
    <w:rPr>
      <w:rFonts w:cs="Wingdings"/>
    </w:rPr>
  </w:style>
  <w:style w:type="character" w:styleId="ListLabel252" w:customStyle="1">
    <w:name w:val="ListLabel 252"/>
    <w:qFormat/>
    <w:rPr>
      <w:rFonts w:cs="Symbol"/>
    </w:rPr>
  </w:style>
  <w:style w:type="character" w:styleId="ListLabel253" w:customStyle="1">
    <w:name w:val="ListLabel 253"/>
    <w:qFormat/>
    <w:rPr>
      <w:rFonts w:cs="Courier New"/>
    </w:rPr>
  </w:style>
  <w:style w:type="character" w:styleId="ListLabel254" w:customStyle="1">
    <w:name w:val="ListLabel 254"/>
    <w:qFormat/>
    <w:rPr>
      <w:rFonts w:cs="Wingdings"/>
    </w:rPr>
  </w:style>
  <w:style w:type="character" w:styleId="ListLabel255" w:customStyle="1">
    <w:name w:val="ListLabel 255"/>
    <w:qFormat/>
    <w:rPr>
      <w:sz w:val="18"/>
      <w:szCs w:val="16"/>
    </w:rPr>
  </w:style>
  <w:style w:type="character" w:styleId="ListLabel256" w:customStyle="1">
    <w:name w:val="ListLabel 256"/>
    <w:qFormat/>
    <w:rPr>
      <w:b w:val="false"/>
      <w:bCs w:val="false"/>
      <w:sz w:val="18"/>
      <w:szCs w:val="16"/>
    </w:rPr>
  </w:style>
  <w:style w:type="character" w:styleId="ListLabel257" w:customStyle="1">
    <w:name w:val="ListLabel 257"/>
    <w:qFormat/>
    <w:rPr>
      <w:rFonts w:cs="Arial"/>
      <w:b/>
      <w:bCs/>
      <w:i w:val="false"/>
      <w:iCs w:val="false"/>
      <w:sz w:val="24"/>
      <w:szCs w:val="24"/>
    </w:rPr>
  </w:style>
  <w:style w:type="character" w:styleId="ListLabel258" w:customStyle="1">
    <w:name w:val="ListLabel 258"/>
    <w:qFormat/>
    <w:rPr>
      <w:b/>
      <w:bCs/>
      <w:i w:val="false"/>
      <w:iCs w:val="false"/>
    </w:rPr>
  </w:style>
  <w:style w:type="character" w:styleId="ListLabel259" w:customStyle="1">
    <w:name w:val="ListLabel 259"/>
    <w:qFormat/>
    <w:rPr>
      <w:b w:val="false"/>
      <w:bCs w:val="false"/>
      <w:i w:val="false"/>
      <w:iCs w:val="false"/>
      <w:sz w:val="16"/>
    </w:rPr>
  </w:style>
  <w:style w:type="character" w:styleId="ListLabel260" w:customStyle="1">
    <w:name w:val="ListLabel 260"/>
    <w:qFormat/>
    <w:rPr>
      <w:b w:val="false"/>
      <w:bCs w:val="false"/>
      <w:i w:val="false"/>
      <w:iCs w:val="false"/>
      <w:sz w:val="18"/>
    </w:rPr>
  </w:style>
  <w:style w:type="character" w:styleId="ListLabel261" w:customStyle="1">
    <w:name w:val="ListLabel 261"/>
    <w:qFormat/>
    <w:rPr>
      <w:rFonts w:cs="Symbol"/>
      <w:sz w:val="16"/>
    </w:rPr>
  </w:style>
  <w:style w:type="character" w:styleId="ListLabel262" w:customStyle="1">
    <w:name w:val="ListLabel 262"/>
    <w:qFormat/>
    <w:rPr>
      <w:rFonts w:cs="Courier New"/>
    </w:rPr>
  </w:style>
  <w:style w:type="character" w:styleId="ListLabel263" w:customStyle="1">
    <w:name w:val="ListLabel 263"/>
    <w:qFormat/>
    <w:rPr>
      <w:rFonts w:cs="Wingdings"/>
    </w:rPr>
  </w:style>
  <w:style w:type="character" w:styleId="ListLabel264" w:customStyle="1">
    <w:name w:val="ListLabel 264"/>
    <w:qFormat/>
    <w:rPr>
      <w:rFonts w:cs="Symbol"/>
    </w:rPr>
  </w:style>
  <w:style w:type="character" w:styleId="ListLabel265" w:customStyle="1">
    <w:name w:val="ListLabel 265"/>
    <w:qFormat/>
    <w:rPr>
      <w:rFonts w:cs="Courier New"/>
    </w:rPr>
  </w:style>
  <w:style w:type="character" w:styleId="ListLabel266" w:customStyle="1">
    <w:name w:val="ListLabel 266"/>
    <w:qFormat/>
    <w:rPr>
      <w:rFonts w:cs="Wingdings"/>
    </w:rPr>
  </w:style>
  <w:style w:type="character" w:styleId="ListLabel267" w:customStyle="1">
    <w:name w:val="ListLabel 267"/>
    <w:qFormat/>
    <w:rPr>
      <w:rFonts w:cs="Symbol"/>
    </w:rPr>
  </w:style>
  <w:style w:type="character" w:styleId="ListLabel268" w:customStyle="1">
    <w:name w:val="ListLabel 268"/>
    <w:qFormat/>
    <w:rPr>
      <w:rFonts w:cs="Courier New"/>
    </w:rPr>
  </w:style>
  <w:style w:type="character" w:styleId="ListLabel269" w:customStyle="1">
    <w:name w:val="ListLabel 269"/>
    <w:qFormat/>
    <w:rPr>
      <w:rFonts w:cs="Wingdings"/>
    </w:rPr>
  </w:style>
  <w:style w:type="character" w:styleId="ListLabel270" w:customStyle="1">
    <w:name w:val="ListLabel 270"/>
    <w:qFormat/>
    <w:rPr>
      <w:sz w:val="18"/>
      <w:szCs w:val="16"/>
    </w:rPr>
  </w:style>
  <w:style w:type="character" w:styleId="ListLabel271" w:customStyle="1">
    <w:name w:val="ListLabel 271"/>
    <w:qFormat/>
    <w:rPr>
      <w:b w:val="false"/>
      <w:bCs w:val="false"/>
      <w:sz w:val="18"/>
      <w:szCs w:val="16"/>
    </w:rPr>
  </w:style>
  <w:style w:type="character" w:styleId="ListLabel272" w:customStyle="1">
    <w:name w:val="ListLabel 272"/>
    <w:qFormat/>
    <w:rPr>
      <w:rFonts w:cs="Arial"/>
      <w:b/>
      <w:bCs/>
      <w:i w:val="false"/>
      <w:iCs w:val="false"/>
      <w:sz w:val="24"/>
      <w:szCs w:val="24"/>
    </w:rPr>
  </w:style>
  <w:style w:type="character" w:styleId="ListLabel273" w:customStyle="1">
    <w:name w:val="ListLabel 273"/>
    <w:qFormat/>
    <w:rPr>
      <w:b/>
      <w:bCs/>
      <w:i w:val="false"/>
      <w:iCs w:val="false"/>
    </w:rPr>
  </w:style>
  <w:style w:type="character" w:styleId="ListLabel274" w:customStyle="1">
    <w:name w:val="ListLabel 274"/>
    <w:qFormat/>
    <w:rPr>
      <w:b w:val="false"/>
      <w:bCs w:val="false"/>
      <w:i w:val="false"/>
      <w:iCs w:val="false"/>
      <w:sz w:val="16"/>
    </w:rPr>
  </w:style>
  <w:style w:type="character" w:styleId="ListLabel275" w:customStyle="1">
    <w:name w:val="ListLabel 275"/>
    <w:qFormat/>
    <w:rPr>
      <w:b w:val="false"/>
      <w:bCs w:val="false"/>
      <w:i w:val="false"/>
      <w:iCs w:val="false"/>
      <w:sz w:val="18"/>
    </w:rPr>
  </w:style>
  <w:style w:type="character" w:styleId="ListLabel276" w:customStyle="1">
    <w:name w:val="ListLabel 276"/>
    <w:qFormat/>
    <w:rPr>
      <w:rFonts w:cs="Symbol"/>
      <w:sz w:val="16"/>
    </w:rPr>
  </w:style>
  <w:style w:type="character" w:styleId="ListLabel277" w:customStyle="1">
    <w:name w:val="ListLabel 277"/>
    <w:qFormat/>
    <w:rPr>
      <w:rFonts w:cs="Courier New"/>
    </w:rPr>
  </w:style>
  <w:style w:type="character" w:styleId="ListLabel278" w:customStyle="1">
    <w:name w:val="ListLabel 278"/>
    <w:qFormat/>
    <w:rPr>
      <w:rFonts w:cs="Wingdings"/>
    </w:rPr>
  </w:style>
  <w:style w:type="character" w:styleId="ListLabel279" w:customStyle="1">
    <w:name w:val="ListLabel 279"/>
    <w:qFormat/>
    <w:rPr>
      <w:rFonts w:cs="Symbol"/>
    </w:rPr>
  </w:style>
  <w:style w:type="character" w:styleId="ListLabel280" w:customStyle="1">
    <w:name w:val="ListLabel 280"/>
    <w:qFormat/>
    <w:rPr>
      <w:rFonts w:cs="Courier New"/>
    </w:rPr>
  </w:style>
  <w:style w:type="character" w:styleId="ListLabel281" w:customStyle="1">
    <w:name w:val="ListLabel 281"/>
    <w:qFormat/>
    <w:rPr>
      <w:rFonts w:cs="Wingdings"/>
    </w:rPr>
  </w:style>
  <w:style w:type="character" w:styleId="ListLabel282" w:customStyle="1">
    <w:name w:val="ListLabel 282"/>
    <w:qFormat/>
    <w:rPr>
      <w:rFonts w:cs="Symbol"/>
    </w:rPr>
  </w:style>
  <w:style w:type="character" w:styleId="ListLabel283" w:customStyle="1">
    <w:name w:val="ListLabel 283"/>
    <w:qFormat/>
    <w:rPr>
      <w:rFonts w:cs="Courier New"/>
    </w:rPr>
  </w:style>
  <w:style w:type="character" w:styleId="ListLabel284" w:customStyle="1">
    <w:name w:val="ListLabel 284"/>
    <w:qFormat/>
    <w:rPr>
      <w:rFonts w:cs="Wingdings"/>
    </w:rPr>
  </w:style>
  <w:style w:type="character" w:styleId="ListLabel285" w:customStyle="1">
    <w:name w:val="ListLabel 285"/>
    <w:qFormat/>
    <w:rPr>
      <w:sz w:val="18"/>
      <w:szCs w:val="16"/>
    </w:rPr>
  </w:style>
  <w:style w:type="character" w:styleId="ListLabel286" w:customStyle="1">
    <w:name w:val="ListLabel 286"/>
    <w:qFormat/>
    <w:rPr>
      <w:b w:val="false"/>
      <w:bCs w:val="false"/>
      <w:sz w:val="18"/>
      <w:szCs w:val="16"/>
    </w:rPr>
  </w:style>
  <w:style w:type="character" w:styleId="ListLabel287" w:customStyle="1">
    <w:name w:val="ListLabel 287"/>
    <w:qFormat/>
    <w:rPr>
      <w:rFonts w:cs="Arial"/>
      <w:b/>
      <w:bCs/>
      <w:i w:val="false"/>
      <w:iCs w:val="false"/>
      <w:sz w:val="24"/>
      <w:szCs w:val="24"/>
    </w:rPr>
  </w:style>
  <w:style w:type="character" w:styleId="ListLabel288" w:customStyle="1">
    <w:name w:val="ListLabel 288"/>
    <w:qFormat/>
    <w:rPr>
      <w:b/>
      <w:bCs/>
      <w:i w:val="false"/>
      <w:iCs w:val="false"/>
    </w:rPr>
  </w:style>
  <w:style w:type="character" w:styleId="ListLabel289" w:customStyle="1">
    <w:name w:val="ListLabel 289"/>
    <w:qFormat/>
    <w:rPr>
      <w:b w:val="false"/>
      <w:bCs w:val="false"/>
      <w:i w:val="false"/>
      <w:iCs w:val="false"/>
      <w:sz w:val="16"/>
    </w:rPr>
  </w:style>
  <w:style w:type="character" w:styleId="ListLabel290" w:customStyle="1">
    <w:name w:val="ListLabel 290"/>
    <w:qFormat/>
    <w:rPr>
      <w:b w:val="false"/>
      <w:bCs w:val="false"/>
      <w:i w:val="false"/>
      <w:iCs w:val="false"/>
      <w:sz w:val="18"/>
    </w:rPr>
  </w:style>
  <w:style w:type="character" w:styleId="ListLabel291" w:customStyle="1">
    <w:name w:val="ListLabel 291"/>
    <w:qFormat/>
    <w:rPr>
      <w:rFonts w:cs="Symbol"/>
      <w:sz w:val="16"/>
    </w:rPr>
  </w:style>
  <w:style w:type="character" w:styleId="ListLabel292" w:customStyle="1">
    <w:name w:val="ListLabel 292"/>
    <w:qFormat/>
    <w:rPr>
      <w:rFonts w:cs="Courier New"/>
    </w:rPr>
  </w:style>
  <w:style w:type="character" w:styleId="ListLabel293" w:customStyle="1">
    <w:name w:val="ListLabel 293"/>
    <w:qFormat/>
    <w:rPr>
      <w:rFonts w:cs="Wingdings"/>
    </w:rPr>
  </w:style>
  <w:style w:type="character" w:styleId="ListLabel294" w:customStyle="1">
    <w:name w:val="ListLabel 294"/>
    <w:qFormat/>
    <w:rPr>
      <w:rFonts w:cs="Symbol"/>
    </w:rPr>
  </w:style>
  <w:style w:type="character" w:styleId="ListLabel295" w:customStyle="1">
    <w:name w:val="ListLabel 295"/>
    <w:qFormat/>
    <w:rPr>
      <w:rFonts w:cs="Courier New"/>
    </w:rPr>
  </w:style>
  <w:style w:type="character" w:styleId="ListLabel296" w:customStyle="1">
    <w:name w:val="ListLabel 296"/>
    <w:qFormat/>
    <w:rPr>
      <w:rFonts w:cs="Wingdings"/>
    </w:rPr>
  </w:style>
  <w:style w:type="character" w:styleId="ListLabel297" w:customStyle="1">
    <w:name w:val="ListLabel 297"/>
    <w:qFormat/>
    <w:rPr>
      <w:rFonts w:cs="Symbol"/>
    </w:rPr>
  </w:style>
  <w:style w:type="character" w:styleId="ListLabel298" w:customStyle="1">
    <w:name w:val="ListLabel 298"/>
    <w:qFormat/>
    <w:rPr>
      <w:rFonts w:cs="Courier New"/>
    </w:rPr>
  </w:style>
  <w:style w:type="character" w:styleId="ListLabel299" w:customStyle="1">
    <w:name w:val="ListLabel 299"/>
    <w:qFormat/>
    <w:rPr>
      <w:rFonts w:cs="Wingdings"/>
    </w:rPr>
  </w:style>
  <w:style w:type="character" w:styleId="ListLabel300" w:customStyle="1">
    <w:name w:val="ListLabel 300"/>
    <w:qFormat/>
    <w:rPr>
      <w:sz w:val="18"/>
      <w:szCs w:val="16"/>
    </w:rPr>
  </w:style>
  <w:style w:type="character" w:styleId="ListLabel301" w:customStyle="1">
    <w:name w:val="ListLabel 301"/>
    <w:qFormat/>
    <w:rPr>
      <w:b w:val="false"/>
      <w:bCs w:val="false"/>
      <w:sz w:val="18"/>
      <w:szCs w:val="16"/>
    </w:rPr>
  </w:style>
  <w:style w:type="character" w:styleId="ListLabel302" w:customStyle="1">
    <w:name w:val="ListLabel 302"/>
    <w:qFormat/>
    <w:rPr>
      <w:rFonts w:cs="Arial"/>
      <w:b/>
      <w:bCs/>
      <w:i w:val="false"/>
      <w:iCs w:val="false"/>
      <w:sz w:val="24"/>
      <w:szCs w:val="24"/>
    </w:rPr>
  </w:style>
  <w:style w:type="character" w:styleId="ListLabel303" w:customStyle="1">
    <w:name w:val="ListLabel 303"/>
    <w:qFormat/>
    <w:rPr>
      <w:b/>
      <w:bCs/>
      <w:i w:val="false"/>
      <w:iCs w:val="false"/>
    </w:rPr>
  </w:style>
  <w:style w:type="character" w:styleId="ListLabel304" w:customStyle="1">
    <w:name w:val="ListLabel 304"/>
    <w:qFormat/>
    <w:rPr>
      <w:b w:val="false"/>
      <w:bCs w:val="false"/>
      <w:i w:val="false"/>
      <w:iCs w:val="false"/>
      <w:sz w:val="16"/>
    </w:rPr>
  </w:style>
  <w:style w:type="character" w:styleId="ListLabel305" w:customStyle="1">
    <w:name w:val="ListLabel 305"/>
    <w:qFormat/>
    <w:rPr>
      <w:b w:val="false"/>
      <w:bCs w:val="false"/>
      <w:i w:val="false"/>
      <w:iCs w:val="false"/>
      <w:sz w:val="18"/>
    </w:rPr>
  </w:style>
  <w:style w:type="character" w:styleId="ListLabel306" w:customStyle="1">
    <w:name w:val="ListLabel 306"/>
    <w:qFormat/>
    <w:rPr>
      <w:rFonts w:cs="Symbol"/>
      <w:sz w:val="16"/>
    </w:rPr>
  </w:style>
  <w:style w:type="character" w:styleId="ListLabel307" w:customStyle="1">
    <w:name w:val="ListLabel 307"/>
    <w:qFormat/>
    <w:rPr>
      <w:rFonts w:cs="Courier New"/>
    </w:rPr>
  </w:style>
  <w:style w:type="character" w:styleId="ListLabel308" w:customStyle="1">
    <w:name w:val="ListLabel 308"/>
    <w:qFormat/>
    <w:rPr>
      <w:rFonts w:cs="Wingdings"/>
    </w:rPr>
  </w:style>
  <w:style w:type="character" w:styleId="ListLabel309" w:customStyle="1">
    <w:name w:val="ListLabel 309"/>
    <w:qFormat/>
    <w:rPr>
      <w:rFonts w:cs="Symbol"/>
    </w:rPr>
  </w:style>
  <w:style w:type="character" w:styleId="ListLabel310" w:customStyle="1">
    <w:name w:val="ListLabel 310"/>
    <w:qFormat/>
    <w:rPr>
      <w:rFonts w:cs="Courier New"/>
    </w:rPr>
  </w:style>
  <w:style w:type="character" w:styleId="ListLabel311" w:customStyle="1">
    <w:name w:val="ListLabel 311"/>
    <w:qFormat/>
    <w:rPr>
      <w:rFonts w:cs="Wingdings"/>
    </w:rPr>
  </w:style>
  <w:style w:type="character" w:styleId="ListLabel312" w:customStyle="1">
    <w:name w:val="ListLabel 312"/>
    <w:qFormat/>
    <w:rPr>
      <w:rFonts w:cs="Symbol"/>
    </w:rPr>
  </w:style>
  <w:style w:type="character" w:styleId="ListLabel313" w:customStyle="1">
    <w:name w:val="ListLabel 313"/>
    <w:qFormat/>
    <w:rPr>
      <w:rFonts w:cs="Courier New"/>
    </w:rPr>
  </w:style>
  <w:style w:type="character" w:styleId="ListLabel314" w:customStyle="1">
    <w:name w:val="ListLabel 314"/>
    <w:qFormat/>
    <w:rPr>
      <w:rFonts w:cs="Wingdings"/>
    </w:rPr>
  </w:style>
  <w:style w:type="character" w:styleId="ListLabel315" w:customStyle="1">
    <w:name w:val="ListLabel 315"/>
    <w:qFormat/>
    <w:rPr>
      <w:sz w:val="18"/>
      <w:szCs w:val="16"/>
    </w:rPr>
  </w:style>
  <w:style w:type="character" w:styleId="ListLabel316" w:customStyle="1">
    <w:name w:val="ListLabel 316"/>
    <w:qFormat/>
    <w:rPr>
      <w:b w:val="false"/>
      <w:bCs w:val="false"/>
      <w:sz w:val="18"/>
      <w:szCs w:val="16"/>
    </w:rPr>
  </w:style>
  <w:style w:type="character" w:styleId="ListLabel317">
    <w:name w:val="ListLabel 317"/>
    <w:qFormat/>
    <w:rPr>
      <w:rFonts w:cs="Arial"/>
      <w:b/>
      <w:bCs/>
      <w:i w:val="false"/>
      <w:iCs w:val="false"/>
      <w:sz w:val="24"/>
      <w:szCs w:val="24"/>
    </w:rPr>
  </w:style>
  <w:style w:type="character" w:styleId="ListLabel318">
    <w:name w:val="ListLabel 318"/>
    <w:qFormat/>
    <w:rPr>
      <w:b/>
      <w:bCs/>
      <w:i w:val="false"/>
      <w:iCs w:val="false"/>
    </w:rPr>
  </w:style>
  <w:style w:type="character" w:styleId="ListLabel319">
    <w:name w:val="ListLabel 319"/>
    <w:qFormat/>
    <w:rPr>
      <w:b w:val="false"/>
      <w:bCs w:val="false"/>
      <w:i w:val="false"/>
      <w:iCs w:val="false"/>
      <w:sz w:val="16"/>
    </w:rPr>
  </w:style>
  <w:style w:type="character" w:styleId="ListLabel320">
    <w:name w:val="ListLabel 320"/>
    <w:qFormat/>
    <w:rPr>
      <w:b w:val="false"/>
      <w:bCs w:val="false"/>
      <w:i w:val="false"/>
      <w:iCs w:val="false"/>
      <w:sz w:val="18"/>
    </w:rPr>
  </w:style>
  <w:style w:type="character" w:styleId="ListLabel321">
    <w:name w:val="ListLabel 321"/>
    <w:qFormat/>
    <w:rPr>
      <w:rFonts w:cs="Symbol"/>
      <w:sz w:val="16"/>
    </w:rPr>
  </w:style>
  <w:style w:type="character" w:styleId="ListLabel322">
    <w:name w:val="ListLabel 322"/>
    <w:qFormat/>
    <w:rPr>
      <w:rFonts w:cs="Courier New"/>
    </w:rPr>
  </w:style>
  <w:style w:type="character" w:styleId="ListLabel323">
    <w:name w:val="ListLabel 323"/>
    <w:qFormat/>
    <w:rPr>
      <w:rFonts w:cs="Wingdings"/>
    </w:rPr>
  </w:style>
  <w:style w:type="character" w:styleId="ListLabel324">
    <w:name w:val="ListLabel 324"/>
    <w:qFormat/>
    <w:rPr>
      <w:rFonts w:cs="Symbol"/>
    </w:rPr>
  </w:style>
  <w:style w:type="character" w:styleId="ListLabel325">
    <w:name w:val="ListLabel 325"/>
    <w:qFormat/>
    <w:rPr>
      <w:rFonts w:cs="Courier New"/>
    </w:rPr>
  </w:style>
  <w:style w:type="character" w:styleId="ListLabel326">
    <w:name w:val="ListLabel 326"/>
    <w:qFormat/>
    <w:rPr>
      <w:rFonts w:cs="Wingdings"/>
    </w:rPr>
  </w:style>
  <w:style w:type="character" w:styleId="ListLabel327">
    <w:name w:val="ListLabel 327"/>
    <w:qFormat/>
    <w:rPr>
      <w:rFonts w:cs="Symbol"/>
    </w:rPr>
  </w:style>
  <w:style w:type="character" w:styleId="ListLabel328">
    <w:name w:val="ListLabel 328"/>
    <w:qFormat/>
    <w:rPr>
      <w:rFonts w:cs="Courier New"/>
    </w:rPr>
  </w:style>
  <w:style w:type="character" w:styleId="ListLabel329">
    <w:name w:val="ListLabel 329"/>
    <w:qFormat/>
    <w:rPr>
      <w:rFonts w:cs="Wingdings"/>
    </w:rPr>
  </w:style>
  <w:style w:type="character" w:styleId="ListLabel330">
    <w:name w:val="ListLabel 330"/>
    <w:qFormat/>
    <w:rPr>
      <w:sz w:val="18"/>
      <w:szCs w:val="16"/>
    </w:rPr>
  </w:style>
  <w:style w:type="character" w:styleId="ListLabel331">
    <w:name w:val="ListLabel 331"/>
    <w:qFormat/>
    <w:rPr>
      <w:b w:val="false"/>
      <w:bCs w:val="false"/>
      <w:sz w:val="18"/>
      <w:szCs w:val="16"/>
    </w:rPr>
  </w:style>
  <w:style w:type="paragraph" w:styleId="Nadpis" w:customStyle="1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link w:val="ZkladntextChar"/>
    <w:uiPriority w:val="99"/>
    <w:rsid w:val="00497323"/>
    <w:pPr>
      <w:spacing w:lineRule="auto" w:line="240" w:before="0" w:after="0"/>
    </w:pPr>
    <w:rPr>
      <w:rFonts w:ascii="Arial" w:hAnsi="Arial" w:cs="Arial"/>
      <w:sz w:val="24"/>
      <w:szCs w:val="24"/>
      <w:lang w:val="de-DE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Lucida Sans"/>
    </w:rPr>
  </w:style>
  <w:style w:type="paragraph" w:styleId="Caption">
    <w:name w:val="caption"/>
    <w:basedOn w:val="Normal"/>
    <w:qFormat/>
    <w:pPr>
      <w:suppressLineNumbers/>
    </w:pPr>
    <w:rPr>
      <w:rFonts w:cs="Lucida Sans"/>
      <w:i/>
      <w:iCs/>
      <w:sz w:val="24"/>
      <w:szCs w:val="24"/>
    </w:rPr>
  </w:style>
  <w:style w:type="paragraph" w:styleId="Tl11ptTuniernaPodaokrajaVavo019cmRiadkova" w:customStyle="1">
    <w:name w:val="Štýl 11 pt Tučné Čierna Podľa okraja Vľavo:  019 cm Riadkova..."/>
    <w:uiPriority w:val="99"/>
    <w:qFormat/>
    <w:rsid w:val="00d71ffb"/>
    <w:pPr>
      <w:widowControl/>
      <w:bidi w:val="0"/>
      <w:spacing w:lineRule="auto" w:line="360"/>
      <w:jc w:val="both"/>
    </w:pPr>
    <w:rPr>
      <w:rFonts w:ascii="Arial" w:hAnsi="Arial" w:cs="Arial" w:eastAsia="Times New Roman"/>
      <w:color w:val="000000"/>
      <w:sz w:val="24"/>
      <w:szCs w:val="24"/>
      <w:lang w:eastAsia="cs-CZ" w:val="sk-SK" w:bidi="ar-SA"/>
    </w:rPr>
  </w:style>
  <w:style w:type="paragraph" w:styleId="TlPodaokrajaVavo019cmRiadkovanie15riadka" w:customStyle="1">
    <w:name w:val="Štýl Podľa okraja Vľavo:  019 cm Riadkovanie:  15 riadka"/>
    <w:basedOn w:val="Normal"/>
    <w:autoRedefine/>
    <w:uiPriority w:val="99"/>
    <w:qFormat/>
    <w:rsid w:val="00d71ffb"/>
    <w:pPr>
      <w:ind w:left="108" w:hanging="0"/>
    </w:pPr>
    <w:rPr/>
  </w:style>
  <w:style w:type="paragraph" w:styleId="Bododvodnenie" w:customStyle="1">
    <w:name w:val="Bod odôvodnenie"/>
    <w:uiPriority w:val="99"/>
    <w:qFormat/>
    <w:rsid w:val="00d440d5"/>
    <w:pPr>
      <w:widowControl/>
      <w:bidi w:val="0"/>
      <w:spacing w:before="120" w:after="120"/>
      <w:jc w:val="left"/>
    </w:pPr>
    <w:rPr>
      <w:rFonts w:ascii="Arial" w:hAnsi="Arial" w:cs="Arial" w:eastAsia="Times New Roman"/>
      <w:b/>
      <w:bCs/>
      <w:color w:val="00000A"/>
      <w:sz w:val="24"/>
      <w:szCs w:val="24"/>
      <w:lang w:eastAsia="cs-CZ" w:val="sk-SK" w:bidi="ar-SA"/>
    </w:rPr>
  </w:style>
  <w:style w:type="paragraph" w:styleId="TlArialPodaokraja" w:customStyle="1">
    <w:name w:val="Štýl Arial Podľa okraja"/>
    <w:autoRedefine/>
    <w:uiPriority w:val="99"/>
    <w:qFormat/>
    <w:rsid w:val="004337d2"/>
    <w:pPr>
      <w:widowControl/>
      <w:bidi w:val="0"/>
      <w:jc w:val="both"/>
    </w:pPr>
    <w:rPr>
      <w:rFonts w:ascii="Arial" w:hAnsi="Arial" w:cs="Arial" w:eastAsia="Times New Roman"/>
      <w:color w:val="00000A"/>
      <w:sz w:val="16"/>
      <w:szCs w:val="16"/>
      <w:lang w:eastAsia="cs-CZ" w:val="sk-SK" w:bidi="ar-SA"/>
    </w:rPr>
  </w:style>
  <w:style w:type="paragraph" w:styleId="Textpoznmky" w:customStyle="1">
    <w:name w:val="Text poznámky"/>
    <w:basedOn w:val="Normal"/>
    <w:autoRedefine/>
    <w:uiPriority w:val="99"/>
    <w:qFormat/>
    <w:rsid w:val="001f67e7"/>
    <w:pPr>
      <w:spacing w:lineRule="auto" w:line="240"/>
    </w:pPr>
    <w:rPr/>
  </w:style>
  <w:style w:type="paragraph" w:styleId="Pta">
    <w:name w:val="Footer"/>
    <w:basedOn w:val="Normal"/>
    <w:link w:val="PtaChar"/>
    <w:uiPriority w:val="99"/>
    <w:rsid w:val="0072048d"/>
    <w:pPr>
      <w:tabs>
        <w:tab w:val="center" w:pos="4536" w:leader="none"/>
        <w:tab w:val="right" w:pos="9072" w:leader="none"/>
      </w:tabs>
    </w:pPr>
    <w:rPr>
      <w:rFonts w:ascii="Arial" w:hAnsi="Arial" w:cs="Arial"/>
      <w:sz w:val="24"/>
      <w:szCs w:val="24"/>
    </w:rPr>
  </w:style>
  <w:style w:type="paragraph" w:styleId="Normlny1" w:customStyle="1">
    <w:name w:val="Normálny1"/>
    <w:uiPriority w:val="99"/>
    <w:qFormat/>
    <w:rsid w:val="00a40be6"/>
    <w:pPr>
      <w:widowControl/>
      <w:bidi w:val="0"/>
      <w:spacing w:lineRule="auto" w:line="360" w:before="120" w:after="120"/>
      <w:ind w:firstLine="709"/>
      <w:jc w:val="both"/>
    </w:pPr>
    <w:rPr>
      <w:rFonts w:ascii="Arial" w:hAnsi="Arial" w:cs="Arial" w:eastAsia="Times New Roman"/>
      <w:color w:val="00000A"/>
      <w:sz w:val="24"/>
      <w:szCs w:val="24"/>
      <w:lang w:eastAsia="cs-CZ" w:val="sk-SK" w:bidi="ar-SA"/>
    </w:rPr>
  </w:style>
  <w:style w:type="paragraph" w:styleId="Textopatrenia" w:customStyle="1">
    <w:name w:val="Text opatrenia"/>
    <w:qFormat/>
    <w:rsid w:val="00503a66"/>
    <w:pPr>
      <w:widowControl/>
      <w:bidi w:val="0"/>
      <w:spacing w:before="120" w:after="120"/>
      <w:jc w:val="both"/>
    </w:pPr>
    <w:rPr>
      <w:rFonts w:ascii="Arial Narrow" w:hAnsi="Arial Narrow" w:cs="Arial Narrow" w:eastAsia="Times New Roman"/>
      <w:color w:val="00000A"/>
      <w:sz w:val="20"/>
      <w:szCs w:val="22"/>
      <w:lang w:eastAsia="cs-CZ" w:val="sk-SK" w:bidi="ar-SA"/>
    </w:rPr>
  </w:style>
  <w:style w:type="paragraph" w:styleId="TopHeader" w:customStyle="1">
    <w:name w:val="Top Header"/>
    <w:basedOn w:val="Normal"/>
    <w:uiPriority w:val="99"/>
    <w:qFormat/>
    <w:rsid w:val="00322d87"/>
    <w:pPr>
      <w:spacing w:lineRule="auto" w:line="240" w:before="0" w:after="0"/>
      <w:jc w:val="center"/>
    </w:pPr>
    <w:rPr>
      <w:b/>
      <w:bCs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497323"/>
    <w:pPr>
      <w:ind w:left="708" w:hanging="0"/>
    </w:pPr>
    <w:rPr/>
  </w:style>
  <w:style w:type="paragraph" w:styleId="Hlavika">
    <w:name w:val="Header"/>
    <w:basedOn w:val="Normal"/>
    <w:link w:val="HlavikaChar"/>
    <w:uiPriority w:val="99"/>
    <w:rsid w:val="00804636"/>
    <w:pPr>
      <w:tabs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xtbublinyChar"/>
    <w:uiPriority w:val="99"/>
    <w:semiHidden/>
    <w:qFormat/>
    <w:rsid w:val="001058f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Obsahtabuky" w:customStyle="1">
    <w:name w:val="Obsah tabuľky"/>
    <w:basedOn w:val="Normal"/>
    <w:qFormat/>
    <w:pPr/>
    <w:rPr/>
  </w:style>
  <w:style w:type="paragraph" w:styleId="Nadpistabuky" w:customStyle="1">
    <w:name w:val="Nadpis tabuľky"/>
    <w:basedOn w:val="Obsahtabuky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99"/>
    <w:rsid w:val="00db1285"/>
    <w:rPr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Application>LibreOffice/5.3.4.2$Windows_x86 LibreOffice_project/f82d347ccc0be322489bf7da61d7e4ad13fe2ff3</Application>
  <Pages>10</Pages>
  <Words>3794</Words>
  <Characters>22599</Characters>
  <CharactersWithSpaces>25890</CharactersWithSpaces>
  <Paragraphs>786</Paragraphs>
  <Company>MF-SR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2017-03-06T17:01:00Z</dcterms:created>
  <dc:creator>Vlaďka</dc:creator>
  <dc:description/>
  <dc:language>sk-SK</dc:language>
  <cp:lastModifiedBy/>
  <cp:lastPrinted>2018-03-12T20:01:00Z</cp:lastPrinted>
  <dcterms:modified xsi:type="dcterms:W3CDTF">2024-05-13T17:01:37Z</dcterms:modified>
  <cp:revision>150</cp:revision>
  <dc:subject/>
  <dc:title>Príloha č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MF-SR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