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:rsidR="00B87364" w:rsidRDefault="00310231">
      <w:pPr>
        <w:spacing w:after="120"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P</w:t>
      </w:r>
      <w:r w:rsidR="00186DEE">
        <w:rPr>
          <w:rFonts w:ascii="Calibri" w:eastAsia="Calibri" w:hAnsi="Calibri" w:cs="Calibri"/>
          <w:b/>
          <w:sz w:val="24"/>
          <w:szCs w:val="24"/>
        </w:rPr>
        <w:t>OZNÁMKY K ÚČTOVNEJ ZÁVIERKE 2023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sz w:val="24"/>
          <w:szCs w:val="24"/>
        </w:rPr>
        <w:t xml:space="preserve">zostavené podľa Opatrenia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/23378/2014-74 (FS č.12/2014), ktorým sa ustanovujú podrobnosti o individuálnej účtovnej závierke a rozsahu údajov určených z individuálnej účtovnej závierky na zverejnenie </w:t>
      </w: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 xml:space="preserve">pre </w:t>
      </w:r>
      <w:proofErr w:type="spellStart"/>
      <w:r w:rsidR="008A730C">
        <w:rPr>
          <w:rFonts w:ascii="Calibri" w:eastAsia="Calibri" w:hAnsi="Calibri" w:cs="Calibri"/>
          <w:b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b/>
          <w:sz w:val="24"/>
          <w:szCs w:val="24"/>
        </w:rPr>
        <w:t xml:space="preserve"> účtovné jednotky</w:t>
      </w: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 – VŠEOBECNÉ INFORMÁCIE</w:t>
      </w: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1) Základné informácie o účtovnej jednotke:</w:t>
      </w:r>
    </w:p>
    <w:p w:rsidR="00B87364" w:rsidRDefault="00B87364">
      <w:pPr>
        <w:spacing w:line="240" w:lineRule="auto"/>
      </w:pPr>
    </w:p>
    <w:tbl>
      <w:tblPr>
        <w:tblStyle w:val="a"/>
        <w:tblW w:w="9714" w:type="dxa"/>
        <w:tblInd w:w="-108" w:type="dxa"/>
        <w:tblLayout w:type="fixed"/>
        <w:tblLook w:val="0000" w:firstRow="0" w:lastRow="0" w:firstColumn="0" w:lastColumn="0" w:noHBand="0" w:noVBand="0"/>
      </w:tblPr>
      <w:tblGrid>
        <w:gridCol w:w="2835"/>
        <w:gridCol w:w="6879"/>
      </w:tblGrid>
      <w:tr w:rsidR="00B87364">
        <w:trPr>
          <w:trHeight w:val="34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Obchodné meno: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C3389" w:rsidP="0097737C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Na preklad, s.r.o.</w:t>
            </w:r>
          </w:p>
        </w:tc>
      </w:tr>
      <w:tr w:rsidR="00B87364">
        <w:trPr>
          <w:trHeight w:val="3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Sídlo: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1C3389" w:rsidP="000F7B2F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Mariánske námestie 27, 010 01 Žilina</w:t>
            </w:r>
          </w:p>
        </w:tc>
      </w:tr>
      <w:tr w:rsidR="00B87364">
        <w:trPr>
          <w:trHeight w:val="180"/>
        </w:trPr>
        <w:tc>
          <w:tcPr>
            <w:tcW w:w="28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Právna forma:</w:t>
            </w:r>
          </w:p>
        </w:tc>
        <w:tc>
          <w:tcPr>
            <w:tcW w:w="68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Spoločnosť s ručením obmedzeným</w:t>
            </w:r>
          </w:p>
        </w:tc>
      </w:tr>
      <w:tr w:rsidR="00B87364">
        <w:trPr>
          <w:trHeight w:val="2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Dátum vzniku: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Zápis do </w:t>
            </w:r>
            <w:r w:rsidR="001C3389">
              <w:rPr>
                <w:rFonts w:ascii="Calibri" w:eastAsia="Calibri" w:hAnsi="Calibri" w:cs="Calibri"/>
                <w:sz w:val="24"/>
                <w:szCs w:val="24"/>
              </w:rPr>
              <w:t>obchodného registra: 04.01.2014</w:t>
            </w:r>
          </w:p>
        </w:tc>
      </w:tr>
      <w:tr w:rsidR="00B87364">
        <w:trPr>
          <w:trHeight w:val="26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ind w:right="1027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Hlavný predmet podnikania: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1C3389" w:rsidP="001C3389">
            <w:pPr>
              <w:spacing w:line="240" w:lineRule="auto"/>
              <w:jc w:val="both"/>
            </w:pPr>
            <w:r>
              <w:rPr>
                <w:color w:val="807A7A"/>
                <w:sz w:val="21"/>
                <w:szCs w:val="21"/>
                <w:shd w:val="clear" w:color="auto" w:fill="FFFFFF"/>
              </w:rPr>
              <w:t>Prekladateľské a tlmočnícke činnosti</w:t>
            </w:r>
          </w:p>
        </w:tc>
      </w:tr>
      <w:tr w:rsidR="00B87364">
        <w:trPr>
          <w:trHeight w:val="52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Subjekt verejného záujmu: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4" w:space="0" w:color="000000"/>
              <w:right w:val="single" w:sz="8" w:space="0" w:color="000000"/>
            </w:tcBorders>
          </w:tcPr>
          <w:p w:rsidR="00B87364" w:rsidRDefault="00752F78" w:rsidP="001C3389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Spoločnosť </w:t>
            </w:r>
            <w:r w:rsidR="001C3389">
              <w:rPr>
                <w:rFonts w:ascii="Calibri" w:eastAsia="Calibri" w:hAnsi="Calibri" w:cs="Calibri"/>
                <w:sz w:val="24"/>
                <w:szCs w:val="24"/>
              </w:rPr>
              <w:t>Na preklad , s.r.o.</w:t>
            </w:r>
            <w:r>
              <w:rPr>
                <w:rFonts w:ascii="Calibri" w:eastAsia="Calibri" w:hAnsi="Calibri" w:cs="Calibri"/>
                <w:sz w:val="24"/>
                <w:szCs w:val="24"/>
              </w:rPr>
              <w:t xml:space="preserve"> nie je subjektom verejného záujmu (§ 2/14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ZoU</w:t>
            </w:r>
            <w:proofErr w:type="spellEnd"/>
            <w:r>
              <w:rPr>
                <w:rFonts w:ascii="Calibri" w:eastAsia="Calibri" w:hAnsi="Calibri" w:cs="Calibri"/>
                <w:sz w:val="24"/>
                <w:szCs w:val="24"/>
              </w:rPr>
              <w:t>).</w:t>
            </w:r>
          </w:p>
        </w:tc>
      </w:tr>
      <w:tr w:rsidR="00B87364">
        <w:trPr>
          <w:trHeight w:val="300"/>
        </w:trPr>
        <w:tc>
          <w:tcPr>
            <w:tcW w:w="2835" w:type="dxa"/>
            <w:tcBorders>
              <w:top w:val="single" w:sz="4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Účtovné obdobie:</w:t>
            </w:r>
          </w:p>
        </w:tc>
        <w:tc>
          <w:tcPr>
            <w:tcW w:w="6879" w:type="dxa"/>
            <w:tcBorders>
              <w:top w:val="single" w:sz="4" w:space="0" w:color="000000"/>
              <w:left w:val="nil"/>
              <w:bottom w:val="single" w:sz="8" w:space="0" w:color="000000"/>
              <w:right w:val="single" w:sz="8" w:space="0" w:color="000000"/>
            </w:tcBorders>
          </w:tcPr>
          <w:p w:rsidR="00B87364" w:rsidRDefault="00186DEE" w:rsidP="007F4DAB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Kalendárny rok 2023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UJ bola </w:t>
      </w:r>
      <w:r w:rsidR="00186DEE">
        <w:rPr>
          <w:rFonts w:ascii="Calibri" w:eastAsia="Calibri" w:hAnsi="Calibri" w:cs="Calibri"/>
          <w:sz w:val="24"/>
          <w:szCs w:val="24"/>
        </w:rPr>
        <w:t>v účtovnom období roku 2023</w:t>
      </w:r>
      <w:r>
        <w:rPr>
          <w:rFonts w:ascii="Calibri" w:eastAsia="Calibri" w:hAnsi="Calibri" w:cs="Calibri"/>
          <w:sz w:val="24"/>
          <w:szCs w:val="24"/>
        </w:rPr>
        <w:t xml:space="preserve"> – </w:t>
      </w:r>
      <w:proofErr w:type="spellStart"/>
      <w:r w:rsidR="008A730C">
        <w:rPr>
          <w:rFonts w:ascii="Calibri" w:eastAsia="Calibri" w:hAnsi="Calibri" w:cs="Calibri"/>
          <w:sz w:val="24"/>
          <w:szCs w:val="24"/>
        </w:rPr>
        <w:t>mikro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účtovná jednotka, preto zostavuje účtovnú závierku podľa metodiky pre túto veľkostnú skupinu (Opatrenie </w:t>
      </w:r>
      <w:proofErr w:type="spellStart"/>
      <w:r>
        <w:rPr>
          <w:rFonts w:ascii="Calibri" w:eastAsia="Calibri" w:hAnsi="Calibri" w:cs="Calibri"/>
          <w:sz w:val="24"/>
          <w:szCs w:val="24"/>
        </w:rPr>
        <w:t>č.MF</w:t>
      </w:r>
      <w:proofErr w:type="spellEnd"/>
      <w:r>
        <w:rPr>
          <w:rFonts w:ascii="Calibri" w:eastAsia="Calibri" w:hAnsi="Calibri" w:cs="Calibri"/>
          <w:sz w:val="24"/>
          <w:szCs w:val="24"/>
        </w:rPr>
        <w:t>/23378/2014-74).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Dátum schválenia účtovnej závierky za bezprostredne predchádzajúce účtovné obdobie príslušným orgánom účtovnej jednotky:</w:t>
      </w:r>
      <w:r w:rsidR="0097737C">
        <w:rPr>
          <w:rFonts w:ascii="Calibri" w:eastAsia="Calibri" w:hAnsi="Calibri" w:cs="Calibri"/>
          <w:sz w:val="24"/>
          <w:szCs w:val="24"/>
        </w:rPr>
        <w:t xml:space="preserve"> </w:t>
      </w:r>
      <w:r w:rsidR="00186DEE">
        <w:rPr>
          <w:rFonts w:ascii="Calibri" w:eastAsia="Calibri" w:hAnsi="Calibri" w:cs="Calibri"/>
          <w:sz w:val="24"/>
          <w:szCs w:val="24"/>
        </w:rPr>
        <w:t>28.3.2023</w:t>
      </w: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widowControl w:val="0"/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3) Právny dôvod na zostavenie účtovnej závierky: Účtovná </w:t>
      </w:r>
      <w:r w:rsidR="00D42EB4">
        <w:rPr>
          <w:rFonts w:ascii="Calibri" w:eastAsia="Calibri" w:hAnsi="Calibri" w:cs="Calibri"/>
          <w:sz w:val="24"/>
          <w:szCs w:val="24"/>
        </w:rPr>
        <w:t>z</w:t>
      </w:r>
      <w:r w:rsidR="00186DEE">
        <w:rPr>
          <w:rFonts w:ascii="Calibri" w:eastAsia="Calibri" w:hAnsi="Calibri" w:cs="Calibri"/>
          <w:sz w:val="24"/>
          <w:szCs w:val="24"/>
        </w:rPr>
        <w:t>ávierka Spoločnosti k 31.12.2023</w:t>
      </w:r>
      <w:r>
        <w:rPr>
          <w:rFonts w:ascii="Calibri" w:eastAsia="Calibri" w:hAnsi="Calibri" w:cs="Calibri"/>
          <w:sz w:val="24"/>
          <w:szCs w:val="24"/>
        </w:rPr>
        <w:t xml:space="preserve"> je zostavená ako riadna účtovná závierka podľa §17 ods. 6 Zákona č. 431/2002 </w:t>
      </w:r>
      <w:proofErr w:type="spellStart"/>
      <w:r>
        <w:rPr>
          <w:rFonts w:ascii="Calibri" w:eastAsia="Calibri" w:hAnsi="Calibri" w:cs="Calibri"/>
          <w:sz w:val="24"/>
          <w:szCs w:val="24"/>
        </w:rPr>
        <w:t>Z.z</w:t>
      </w:r>
      <w:proofErr w:type="spellEnd"/>
      <w:r>
        <w:rPr>
          <w:rFonts w:ascii="Calibri" w:eastAsia="Calibri" w:hAnsi="Calibri" w:cs="Calibri"/>
          <w:sz w:val="24"/>
          <w:szCs w:val="24"/>
        </w:rPr>
        <w:t>. o účtovníctve za účtovné obdobie</w:t>
      </w:r>
      <w:r w:rsidR="00D42EB4">
        <w:rPr>
          <w:rFonts w:ascii="Calibri" w:eastAsia="Calibri" w:hAnsi="Calibri" w:cs="Calibri"/>
          <w:sz w:val="24"/>
          <w:szCs w:val="24"/>
        </w:rPr>
        <w:t xml:space="preserve"> od 01. </w:t>
      </w:r>
      <w:r w:rsidR="00186DEE">
        <w:rPr>
          <w:rFonts w:ascii="Calibri" w:eastAsia="Calibri" w:hAnsi="Calibri" w:cs="Calibri"/>
          <w:sz w:val="24"/>
          <w:szCs w:val="24"/>
        </w:rPr>
        <w:t>januára 2023 do 31. decembra 2023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4) ÚJ nie je v skupine účtovných jednotiek</w:t>
      </w: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Priemerný prepočítaný počet zamestnancov účtovnej jednotky:</w:t>
      </w:r>
    </w:p>
    <w:tbl>
      <w:tblPr>
        <w:tblStyle w:val="a0"/>
        <w:tblW w:w="9747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857"/>
        <w:gridCol w:w="2523"/>
        <w:gridCol w:w="2367"/>
      </w:tblGrid>
      <w:tr w:rsidR="00B87364">
        <w:trPr>
          <w:trHeight w:val="520"/>
        </w:trPr>
        <w:tc>
          <w:tcPr>
            <w:tcW w:w="4857" w:type="dxa"/>
            <w:vAlign w:val="center"/>
          </w:tcPr>
          <w:p w:rsidR="00B87364" w:rsidRDefault="00752F78">
            <w:pPr>
              <w:spacing w:line="240" w:lineRule="auto"/>
              <w:ind w:right="459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252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7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160"/>
        </w:trPr>
        <w:tc>
          <w:tcPr>
            <w:tcW w:w="4857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Priemerný prepočítaný počet počas účtovného obdobia</w:t>
            </w:r>
          </w:p>
        </w:tc>
        <w:tc>
          <w:tcPr>
            <w:tcW w:w="2523" w:type="dxa"/>
          </w:tcPr>
          <w:p w:rsidR="00B87364" w:rsidRDefault="001C3389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67" w:type="dxa"/>
          </w:tcPr>
          <w:p w:rsidR="00B87364" w:rsidRDefault="001C3389" w:rsidP="007F4DAB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  <w:tr w:rsidR="001C3389">
        <w:trPr>
          <w:trHeight w:val="160"/>
        </w:trPr>
        <w:tc>
          <w:tcPr>
            <w:tcW w:w="4857" w:type="dxa"/>
          </w:tcPr>
          <w:p w:rsidR="001C3389" w:rsidRDefault="001C3389">
            <w:pPr>
              <w:spacing w:line="240" w:lineRule="auto"/>
              <w:jc w:val="both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523" w:type="dxa"/>
          </w:tcPr>
          <w:p w:rsidR="001C3389" w:rsidRDefault="001C3389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  <w:tc>
          <w:tcPr>
            <w:tcW w:w="2367" w:type="dxa"/>
          </w:tcPr>
          <w:p w:rsidR="001C3389" w:rsidRDefault="001C3389" w:rsidP="007F4DAB">
            <w:pPr>
              <w:spacing w:line="240" w:lineRule="auto"/>
              <w:jc w:val="center"/>
              <w:rPr>
                <w:rFonts w:ascii="Calibri" w:eastAsia="Calibri" w:hAnsi="Calibri" w:cs="Calibri"/>
                <w:sz w:val="24"/>
                <w:szCs w:val="24"/>
              </w:rPr>
            </w:pPr>
          </w:p>
        </w:tc>
      </w:tr>
    </w:tbl>
    <w:p w:rsidR="00B87364" w:rsidRDefault="00B87364">
      <w:pPr>
        <w:spacing w:line="240" w:lineRule="auto"/>
        <w:ind w:left="928"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 – INFORMÁCIE O ORGÁNOCH SPOLOČNOSTI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b/>
          <w:sz w:val="24"/>
          <w:szCs w:val="24"/>
        </w:rPr>
        <w:t>Informácie o orgánoch účtovnej jednotky</w:t>
      </w:r>
      <w:r>
        <w:rPr>
          <w:rFonts w:ascii="Calibri" w:eastAsia="Calibri" w:hAnsi="Calibri" w:cs="Calibri"/>
          <w:sz w:val="24"/>
          <w:szCs w:val="24"/>
        </w:rPr>
        <w:t xml:space="preserve"> – štatutárneho orgánu, dozorného orgánu a iného orgánu účtovnej jednotky, pričom sa uvádzajú najmä informácie – o podmienkach a výške jednotlivých druhov záruk alebo iných zabezpečení, o 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osoby):</w:t>
      </w:r>
    </w:p>
    <w:tbl>
      <w:tblPr>
        <w:tblStyle w:val="a1"/>
        <w:tblW w:w="9817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969"/>
        <w:gridCol w:w="2488"/>
        <w:gridCol w:w="2360"/>
      </w:tblGrid>
      <w:tr w:rsidR="00B87364">
        <w:trPr>
          <w:trHeight w:val="8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Orgány účtovnej jednotky</w:t>
            </w:r>
          </w:p>
        </w:tc>
        <w:tc>
          <w:tcPr>
            <w:tcW w:w="2488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Štatutárny orgán/Spoločník</w:t>
            </w:r>
          </w:p>
        </w:tc>
        <w:tc>
          <w:tcPr>
            <w:tcW w:w="2488" w:type="dxa"/>
            <w:vAlign w:val="center"/>
          </w:tcPr>
          <w:p w:rsidR="00B87364" w:rsidRDefault="001C3389" w:rsidP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Helena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Grofčíková</w:t>
            </w:r>
            <w:proofErr w:type="spellEnd"/>
          </w:p>
        </w:tc>
        <w:tc>
          <w:tcPr>
            <w:tcW w:w="2360" w:type="dxa"/>
            <w:vAlign w:val="center"/>
          </w:tcPr>
          <w:p w:rsidR="00B87364" w:rsidRDefault="001C3389" w:rsidP="0097737C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Helena </w:t>
            </w:r>
            <w:proofErr w:type="spellStart"/>
            <w:r>
              <w:rPr>
                <w:rFonts w:ascii="Calibri" w:eastAsia="Calibri" w:hAnsi="Calibri" w:cs="Calibri"/>
                <w:sz w:val="24"/>
                <w:szCs w:val="24"/>
              </w:rPr>
              <w:t>Grofčíková</w:t>
            </w:r>
            <w:proofErr w:type="spellEnd"/>
          </w:p>
        </w:tc>
      </w:tr>
      <w:tr w:rsidR="00B87364">
        <w:trPr>
          <w:trHeight w:val="2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3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 w:rsidP="00D93A46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4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 </w:t>
            </w: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Spoločník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pôžička celkovo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752F78">
            <w:pPr>
              <w:numPr>
                <w:ilvl w:val="0"/>
                <w:numId w:val="1"/>
              </w:numPr>
              <w:spacing w:line="240" w:lineRule="auto"/>
              <w:ind w:hanging="360"/>
              <w:rPr>
                <w:sz w:val="24"/>
                <w:szCs w:val="24"/>
              </w:rPr>
            </w:pPr>
            <w:r>
              <w:rPr>
                <w:rFonts w:ascii="Calibri" w:eastAsia="Calibri" w:hAnsi="Calibri" w:cs="Calibri"/>
                <w:sz w:val="24"/>
                <w:szCs w:val="24"/>
              </w:rPr>
              <w:t>druh príjmu (výhody):</w:t>
            </w: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  <w:tr w:rsidR="00B87364">
        <w:trPr>
          <w:trHeight w:val="160"/>
          <w:jc w:val="center"/>
        </w:trPr>
        <w:tc>
          <w:tcPr>
            <w:tcW w:w="4969" w:type="dxa"/>
            <w:vAlign w:val="center"/>
          </w:tcPr>
          <w:p w:rsidR="00B87364" w:rsidRDefault="00B87364">
            <w:pPr>
              <w:spacing w:line="240" w:lineRule="auto"/>
              <w:ind w:left="720"/>
            </w:pPr>
          </w:p>
        </w:tc>
        <w:tc>
          <w:tcPr>
            <w:tcW w:w="2488" w:type="dxa"/>
            <w:vAlign w:val="center"/>
          </w:tcPr>
          <w:p w:rsidR="00B87364" w:rsidRDefault="00B87364">
            <w:pPr>
              <w:spacing w:line="240" w:lineRule="auto"/>
            </w:pPr>
          </w:p>
        </w:tc>
        <w:tc>
          <w:tcPr>
            <w:tcW w:w="2360" w:type="dxa"/>
            <w:vAlign w:val="center"/>
          </w:tcPr>
          <w:p w:rsidR="00B87364" w:rsidRDefault="00B87364">
            <w:pPr>
              <w:spacing w:line="240" w:lineRule="auto"/>
            </w:pPr>
          </w:p>
        </w:tc>
      </w:tr>
    </w:tbl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line="240" w:lineRule="auto"/>
        <w:ind w:right="-14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III – INFORMÁCIE O PRIJATÝCH POSTUPOCH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1) Účtovná závierka je zostavená za splnenia predpokladu, že ÚJ bude nepretržite pokračovať vo svojej činnosti minimálne 12 mesiacov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 v zmysle § 7 ods. 4 zákona o účtovníctve.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2) Účtovné metódy vychádzajúce z interných smerníc spoločnosti a všeobecné účtovné zásady boli účtovnou jednotkou konzistentne aplikované</w:t>
      </w:r>
    </w:p>
    <w:p w:rsidR="00B87364" w:rsidRDefault="00B87364">
      <w:pPr>
        <w:spacing w:line="240" w:lineRule="auto"/>
        <w:ind w:right="-141"/>
        <w:jc w:val="both"/>
      </w:pP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3) ÚJ neeviduje žiadne transakcie, ktoré sa neuvádzajú v súvahe.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>4) Spôsob a určenie oceňovania majetku a záväzkov (vrátane rozhodujúcich odhadov):</w:t>
      </w:r>
    </w:p>
    <w:p w:rsidR="00B87364" w:rsidRDefault="00752F78">
      <w:pPr>
        <w:spacing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a) Spôsob oceňovania majetku a záväzkov (§ 25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):</w:t>
      </w:r>
    </w:p>
    <w:p w:rsidR="00B87364" w:rsidRDefault="00B87364">
      <w:pPr>
        <w:widowControl w:val="0"/>
        <w:tabs>
          <w:tab w:val="left" w:pos="808"/>
        </w:tabs>
        <w:spacing w:line="240" w:lineRule="auto"/>
        <w:jc w:val="both"/>
      </w:pPr>
    </w:p>
    <w:tbl>
      <w:tblPr>
        <w:tblStyle w:val="a2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706"/>
        <w:gridCol w:w="5300"/>
        <w:gridCol w:w="3600"/>
      </w:tblGrid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Spôsob oceňovania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externe kúpený: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hmotný majetok interne vytvorený: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Dlhodobý nehmotný majetok obstaraný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8.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kúpou: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9.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vytvorené vlastnou činnosťou: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náklady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10.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Zásoby obstarané inak (darom):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Reprodukčná 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Vlastné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Kúpené pohľadávky: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13.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Krátkodobý finančný majetok: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14.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15.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16.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17.</w:t>
            </w:r>
          </w:p>
        </w:tc>
        <w:tc>
          <w:tcPr>
            <w:tcW w:w="53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Deriváty:</w:t>
            </w:r>
          </w:p>
        </w:tc>
        <w:tc>
          <w:tcPr>
            <w:tcW w:w="36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18.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Majetok a záväzky zabezpečené derivátmi: 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19.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Prenajatý majetok a majetok obstaraný na základe zmluvy o kúpe prenajatej veci: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Obstarávacia cena</w:t>
            </w:r>
          </w:p>
        </w:tc>
      </w:tr>
      <w:tr w:rsidR="00B87364">
        <w:tc>
          <w:tcPr>
            <w:tcW w:w="706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20.</w:t>
            </w:r>
          </w:p>
        </w:tc>
        <w:tc>
          <w:tcPr>
            <w:tcW w:w="5300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Splatná daň z príjmov a odložená daň z príjmov:</w:t>
            </w:r>
          </w:p>
        </w:tc>
        <w:tc>
          <w:tcPr>
            <w:tcW w:w="3600" w:type="dxa"/>
          </w:tcPr>
          <w:p w:rsidR="00B87364" w:rsidRDefault="00752F78">
            <w:pPr>
              <w:widowControl w:val="0"/>
              <w:tabs>
                <w:tab w:val="left" w:pos="808"/>
              </w:tabs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Menovitá hodnota</w:t>
            </w:r>
          </w:p>
        </w:tc>
      </w:tr>
    </w:tbl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b) Trvalé zníženie hodnoty majetku nebolo účtované.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c) Záväzky účtovná jednotka ocenila menovitou hodnotou záväzkov. 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d) Účtovná jednotka nepoužila dobrovoľné oceňovanie obchodných podielov metódou vlastného imania (§ 27/9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).</w:t>
      </w:r>
    </w:p>
    <w:p w:rsidR="00B87364" w:rsidRDefault="00B87364">
      <w:pPr>
        <w:keepNext/>
        <w:tabs>
          <w:tab w:val="left" w:pos="1005"/>
        </w:tabs>
        <w:spacing w:after="120" w:line="240" w:lineRule="auto"/>
        <w:jc w:val="both"/>
      </w:pPr>
    </w:p>
    <w:p w:rsidR="00B87364" w:rsidRDefault="00752F78">
      <w:pPr>
        <w:keepNext/>
        <w:tabs>
          <w:tab w:val="left" w:pos="1005"/>
        </w:tabs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f) Tvorba odpisového plánu pre dlhodobý majetok, pričom sa uvádza doba odpisovania, sadzby odpisov a odpisové metódy pre účtovné odpisy:</w:t>
      </w:r>
    </w:p>
    <w:tbl>
      <w:tblPr>
        <w:tblStyle w:val="a3"/>
        <w:tblW w:w="9606" w:type="dxa"/>
        <w:tblInd w:w="-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218"/>
        <w:gridCol w:w="1013"/>
        <w:gridCol w:w="2107"/>
        <w:gridCol w:w="2268"/>
      </w:tblGrid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Dlhodobý hmotný a nehmotný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odpisovaný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číslo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účtu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doba odpisovania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(počet rokov)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 xml:space="preserve">odpisová sadzba </w:t>
            </w:r>
          </w:p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(%)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Software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013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 xml:space="preserve">Ostatný DNM 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019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Stavby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021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20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Počítače s príslušenstvom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Dopravné prostriedky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Ostatné stroje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022.A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  <w:tr w:rsidR="00B87364">
        <w:tc>
          <w:tcPr>
            <w:tcW w:w="4218" w:type="dxa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Ostatný dlhodobý hmotný majetok</w:t>
            </w:r>
          </w:p>
        </w:tc>
        <w:tc>
          <w:tcPr>
            <w:tcW w:w="1013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022</w:t>
            </w:r>
          </w:p>
        </w:tc>
        <w:tc>
          <w:tcPr>
            <w:tcW w:w="2107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4</w:t>
            </w:r>
          </w:p>
        </w:tc>
        <w:tc>
          <w:tcPr>
            <w:tcW w:w="2268" w:type="dxa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25</w:t>
            </w:r>
          </w:p>
        </w:tc>
      </w:tr>
    </w:tbl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 </w:t>
      </w:r>
    </w:p>
    <w:p w:rsidR="00B87364" w:rsidRDefault="00752F78">
      <w:pPr>
        <w:spacing w:after="120" w:line="240" w:lineRule="auto"/>
      </w:pPr>
      <w:r>
        <w:rPr>
          <w:rFonts w:ascii="Calibri" w:eastAsia="Calibri" w:hAnsi="Calibri" w:cs="Calibri"/>
          <w:sz w:val="24"/>
          <w:szCs w:val="24"/>
        </w:rPr>
        <w:t xml:space="preserve">Komentár k odpisovému plánu: 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lastRenderedPageBreak/>
        <w:t>UJ používa účtovné odpisy nezávisle na daňových odpisoch. Majetok sa začína odpisovať v mesiaci, kedy bol zaradený do užívania. Účtovné odpisy vychádzajú z predpokladanej doby používania majetku. Dlhodobý nehmotný majetok sa odpisuje počas 4 rokov od jeho obstarania.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používa rovnomerné odpisovanie dlhodobého hmotného majetku a dlhodobého nehmotného majetku. Podrobný účtovný odpisový plán po položkách sa vedie v podsystéme Majetok (taktiež daňové odpisy podľa zákona o dani z príjmov).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 xml:space="preserve">UJ odpisuje jednotlivé veci alebo relevantné súbory hnuteľných vecí (napr. počítačová sieť, nábytková zostava). UJ nepoužíva </w:t>
      </w:r>
      <w:proofErr w:type="spellStart"/>
      <w:r>
        <w:rPr>
          <w:rFonts w:ascii="Calibri" w:eastAsia="Calibri" w:hAnsi="Calibri" w:cs="Calibri"/>
          <w:sz w:val="24"/>
          <w:szCs w:val="24"/>
        </w:rPr>
        <w:t>komponentné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odpisovanie (odpisovanie častí majetku - komponentov).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UJ nepoužila jednorazový odpis</w:t>
      </w:r>
      <w:r>
        <w:rPr>
          <w:rFonts w:ascii="Calibri" w:eastAsia="Calibri" w:hAnsi="Calibri" w:cs="Calibri"/>
          <w:b/>
          <w:sz w:val="24"/>
          <w:szCs w:val="24"/>
        </w:rPr>
        <w:t xml:space="preserve"> </w:t>
      </w:r>
      <w:r>
        <w:rPr>
          <w:rFonts w:ascii="Calibri" w:eastAsia="Calibri" w:hAnsi="Calibri" w:cs="Calibri"/>
          <w:sz w:val="24"/>
          <w:szCs w:val="24"/>
        </w:rPr>
        <w:t>dlhodobého majetku z dôvodu jednorazového trvalého zníženia hodnoty majetku (§ 21/5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nehmotného majetku - položky pod 2 400 eur jednotkovej ceny so životnosťou nad jeden rok (§ 13/2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kategóriu drobného dlhodobého hmotného majetku - položky pod 1 700 eur jednotkovej ceny so životnosťou nad jeden rok (§ 13/6 PU).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left="227" w:hanging="227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dobrovoľné účtovanie podlimitného technického zhodnotenia do odpisovaného dlhodobého majetku – technické zhodnotenie pod 1 700 eur za účtovné obdobie (§ 21/3 PU; § 29/2 ZDP).</w:t>
      </w:r>
    </w:p>
    <w:p w:rsidR="00B87364" w:rsidRDefault="00752F78">
      <w:pPr>
        <w:numPr>
          <w:ilvl w:val="0"/>
          <w:numId w:val="2"/>
        </w:numPr>
        <w:spacing w:after="120" w:line="240" w:lineRule="auto"/>
        <w:ind w:hanging="360"/>
        <w:jc w:val="both"/>
        <w:rPr>
          <w:sz w:val="24"/>
          <w:szCs w:val="24"/>
        </w:rPr>
      </w:pPr>
      <w:r>
        <w:rPr>
          <w:rFonts w:ascii="Calibri" w:eastAsia="Calibri" w:hAnsi="Calibri" w:cs="Calibri"/>
          <w:sz w:val="24"/>
          <w:szCs w:val="24"/>
        </w:rPr>
        <w:t>ÚJ nepoužíva dobrovoľnú kapitalizáciu úrokov do obstarávacej ceny odpisovaného dlhodobého hmotného majetku alebo dlhodobého nehmotného majetku (§ 34/1 PU; § 35/2/h PU).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g) ÚJ neb</w:t>
      </w:r>
      <w:r w:rsidR="00310231">
        <w:rPr>
          <w:rFonts w:ascii="Calibri" w:eastAsia="Calibri" w:hAnsi="Calibri" w:cs="Calibri"/>
          <w:sz w:val="24"/>
          <w:szCs w:val="24"/>
        </w:rPr>
        <w:t>o</w:t>
      </w:r>
      <w:r w:rsidR="00186DEE">
        <w:rPr>
          <w:rFonts w:ascii="Calibri" w:eastAsia="Calibri" w:hAnsi="Calibri" w:cs="Calibri"/>
          <w:sz w:val="24"/>
          <w:szCs w:val="24"/>
        </w:rPr>
        <w:t>li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poskytnuté žiadne dotácie</w:t>
      </w:r>
    </w:p>
    <w:p w:rsidR="00B87364" w:rsidRDefault="00B87364">
      <w:pPr>
        <w:keepNext/>
        <w:spacing w:after="120" w:line="240" w:lineRule="auto"/>
        <w:jc w:val="both"/>
      </w:pPr>
    </w:p>
    <w:p w:rsidR="00B87364" w:rsidRDefault="00752F78">
      <w:pPr>
        <w:spacing w:line="240" w:lineRule="auto"/>
      </w:pPr>
      <w:r>
        <w:rPr>
          <w:rFonts w:ascii="Calibri" w:eastAsia="Calibri" w:hAnsi="Calibri" w:cs="Calibri"/>
          <w:sz w:val="24"/>
          <w:szCs w:val="24"/>
        </w:rPr>
        <w:t>5)</w:t>
      </w:r>
      <w:r w:rsidR="00310231">
        <w:rPr>
          <w:rFonts w:ascii="Calibri" w:eastAsia="Calibri" w:hAnsi="Calibri" w:cs="Calibri"/>
          <w:sz w:val="24"/>
          <w:szCs w:val="24"/>
        </w:rPr>
        <w:t xml:space="preserve"> </w:t>
      </w:r>
      <w:r w:rsidR="00186DEE">
        <w:rPr>
          <w:rFonts w:ascii="Calibri" w:eastAsia="Calibri" w:hAnsi="Calibri" w:cs="Calibri"/>
          <w:sz w:val="24"/>
          <w:szCs w:val="24"/>
        </w:rPr>
        <w:t>ÚJ v zdaňovacom období roku 2023</w:t>
      </w:r>
      <w:r>
        <w:rPr>
          <w:rFonts w:ascii="Calibri" w:eastAsia="Calibri" w:hAnsi="Calibri" w:cs="Calibri"/>
          <w:sz w:val="24"/>
          <w:szCs w:val="24"/>
        </w:rPr>
        <w:t xml:space="preserve"> nevykonala žiadne opravy významných chýb.</w:t>
      </w:r>
      <w:bookmarkStart w:id="0" w:name="_GoBack"/>
      <w:bookmarkEnd w:id="0"/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IV – INFORMÁCIE, KTORÉ VYSVETĽUJÚ A DOPĹŇAJÚ SÚVAHU A VÝKAZ ZISKOV A STRÁT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neeviduje žiadne položky nehmotného majetku.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položky významných derivátov, majetku a záväzkoch zabezpečených derivátmi.</w:t>
      </w:r>
    </w:p>
    <w:p w:rsidR="00B87364" w:rsidRDefault="00B87364">
      <w:pPr>
        <w:spacing w:after="120" w:line="240" w:lineRule="auto"/>
        <w:jc w:val="both"/>
      </w:pPr>
    </w:p>
    <w:p w:rsidR="00B87364" w:rsidRDefault="00752F78">
      <w:pPr>
        <w:spacing w:after="120" w:line="240" w:lineRule="auto"/>
        <w:ind w:right="-14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3a) ÚJ neeviduje žiadne položky zabezpečených záväzkov so zostatkovou dobou splatnosti dlhšou 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  <w:t xml:space="preserve"> ako 5 rokov:  </w:t>
      </w:r>
    </w:p>
    <w:p w:rsidR="00B87364" w:rsidRDefault="00B87364">
      <w:pPr>
        <w:spacing w:after="120" w:line="240" w:lineRule="auto"/>
        <w:ind w:right="-141"/>
        <w:jc w:val="both"/>
      </w:pPr>
    </w:p>
    <w:tbl>
      <w:tblPr>
        <w:tblStyle w:val="a4"/>
        <w:tblW w:w="9714" w:type="dxa"/>
        <w:jc w:val="center"/>
        <w:tblInd w:w="0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000" w:firstRow="0" w:lastRow="0" w:firstColumn="0" w:lastColumn="0" w:noHBand="0" w:noVBand="0"/>
      </w:tblPr>
      <w:tblGrid>
        <w:gridCol w:w="4785"/>
        <w:gridCol w:w="2553"/>
        <w:gridCol w:w="2376"/>
      </w:tblGrid>
      <w:tr w:rsidR="00B87364">
        <w:trPr>
          <w:trHeight w:val="68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Názov položky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B87364">
        <w:trPr>
          <w:trHeight w:val="200"/>
          <w:jc w:val="center"/>
        </w:trPr>
        <w:tc>
          <w:tcPr>
            <w:tcW w:w="4785" w:type="dxa"/>
            <w:vAlign w:val="center"/>
          </w:tcPr>
          <w:p w:rsidR="00B87364" w:rsidRDefault="00752F78">
            <w:pPr>
              <w:spacing w:line="240" w:lineRule="auto"/>
            </w:pPr>
            <w:r>
              <w:rPr>
                <w:rFonts w:ascii="Calibri" w:eastAsia="Calibri" w:hAnsi="Calibri" w:cs="Calibri"/>
                <w:sz w:val="24"/>
                <w:szCs w:val="24"/>
              </w:rPr>
              <w:lastRenderedPageBreak/>
              <w:t>Záväzky so zostatkovou dobou splatnosti nad 5 rokov</w:t>
            </w:r>
          </w:p>
        </w:tc>
        <w:tc>
          <w:tcPr>
            <w:tcW w:w="2553" w:type="dxa"/>
            <w:vAlign w:val="center"/>
          </w:tcPr>
          <w:p w:rsidR="00B87364" w:rsidRDefault="00752F78">
            <w:pPr>
              <w:spacing w:line="240" w:lineRule="auto"/>
              <w:jc w:val="center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  <w:tc>
          <w:tcPr>
            <w:tcW w:w="2376" w:type="dxa"/>
            <w:vAlign w:val="center"/>
          </w:tcPr>
          <w:p w:rsidR="00B87364" w:rsidRDefault="00752F78">
            <w:pPr>
              <w:spacing w:line="240" w:lineRule="auto"/>
              <w:jc w:val="both"/>
            </w:pPr>
            <w:r>
              <w:rPr>
                <w:rFonts w:ascii="Calibri" w:eastAsia="Calibri" w:hAnsi="Calibri" w:cs="Calibri"/>
                <w:sz w:val="24"/>
                <w:szCs w:val="24"/>
              </w:rPr>
              <w:t>0</w:t>
            </w:r>
          </w:p>
        </w:tc>
      </w:tr>
    </w:tbl>
    <w:p w:rsidR="00B87364" w:rsidRDefault="00B87364">
      <w:pPr>
        <w:spacing w:before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3b) ÚJ neeviduje žiadne položky zabezpečených záväzkov.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4) ÚJ neeviduje žiadne vlastné akcie.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5) ÚJ neeviduje žiadne položky nákladov alebo výnosov, ktoré majú výnimočný rozsah alebo výskyt.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 – INFORMÁCIE O INÝCH AKTÍVACH A INÝCH PASÍVACH</w:t>
      </w:r>
    </w:p>
    <w:p w:rsidR="00B87364" w:rsidRDefault="00B87364">
      <w:pPr>
        <w:spacing w:after="120" w:line="240" w:lineRule="auto"/>
        <w:ind w:right="-471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1a) ÚJ neeviduje žiadne položky podmieneného majetku.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1b) ÚJ neeviduje žiadne položky podmienených záväzkov.</w:t>
      </w:r>
    </w:p>
    <w:p w:rsidR="00B87364" w:rsidRDefault="00B87364">
      <w:pPr>
        <w:spacing w:after="120"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2) ÚJ neeviduje žiadne ostatné finančné povinnosti, ktoré a nevykazujú v účtovných výkazoch.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752F78">
      <w:pPr>
        <w:spacing w:after="120"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>3 V účtovníctve ÚJ sa nenachádzajú žiadne položky evidované na podsúvahových účtoch.</w:t>
      </w: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jc w:val="both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 – UDALOSTI, KTORÉ NASTALI PO ZÁVIERKOVOM DNI</w:t>
      </w: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(Následné udalosti)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ÚJ neeviduje žiadne udalosti, ktoré nastali po </w:t>
      </w:r>
      <w:proofErr w:type="spellStart"/>
      <w:r>
        <w:rPr>
          <w:rFonts w:ascii="Calibri" w:eastAsia="Calibri" w:hAnsi="Calibri" w:cs="Calibri"/>
          <w:sz w:val="24"/>
          <w:szCs w:val="24"/>
        </w:rPr>
        <w:t>závierkovom</w:t>
      </w:r>
      <w:proofErr w:type="spellEnd"/>
      <w:r>
        <w:rPr>
          <w:rFonts w:ascii="Calibri" w:eastAsia="Calibri" w:hAnsi="Calibri" w:cs="Calibri"/>
          <w:sz w:val="24"/>
          <w:szCs w:val="24"/>
        </w:rPr>
        <w:t xml:space="preserve"> dni.</w:t>
      </w:r>
    </w:p>
    <w:p w:rsidR="00B87364" w:rsidRDefault="00B87364">
      <w:pPr>
        <w:spacing w:line="240" w:lineRule="auto"/>
        <w:ind w:right="-468"/>
        <w:jc w:val="center"/>
      </w:pPr>
    </w:p>
    <w:p w:rsidR="00B87364" w:rsidRDefault="00B87364">
      <w:pPr>
        <w:spacing w:line="240" w:lineRule="auto"/>
        <w:ind w:right="-468"/>
        <w:jc w:val="center"/>
      </w:pPr>
    </w:p>
    <w:p w:rsidR="00B87364" w:rsidRDefault="00752F78">
      <w:pPr>
        <w:spacing w:line="240" w:lineRule="auto"/>
        <w:ind w:right="-468"/>
        <w:jc w:val="center"/>
      </w:pPr>
      <w:r>
        <w:rPr>
          <w:rFonts w:ascii="Calibri" w:eastAsia="Calibri" w:hAnsi="Calibri" w:cs="Calibri"/>
          <w:b/>
          <w:sz w:val="24"/>
          <w:szCs w:val="24"/>
        </w:rPr>
        <w:t>Článok VII – OSTATNÉ INFORMÁCIE</w:t>
      </w:r>
    </w:p>
    <w:p w:rsidR="00B87364" w:rsidRDefault="00B87364">
      <w:pPr>
        <w:spacing w:line="240" w:lineRule="auto"/>
        <w:ind w:right="-468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>1) ÚJ nemá žiadne právo poskytovať služby vo verejnom záujme.</w:t>
      </w: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2) ÚJ nemá žiadnu priemyselnú výrobu.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ab/>
      </w:r>
      <w:r>
        <w:rPr>
          <w:rFonts w:ascii="Calibri" w:eastAsia="Calibri" w:hAnsi="Calibri" w:cs="Calibri"/>
          <w:sz w:val="24"/>
          <w:szCs w:val="24"/>
        </w:rPr>
        <w:tab/>
      </w: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t xml:space="preserve">3) ÚJ nemá žiadne finančné vzťahy s orgánmi verejnej moci. (§ 23d/6 </w:t>
      </w:r>
      <w:proofErr w:type="spellStart"/>
      <w:r>
        <w:rPr>
          <w:rFonts w:ascii="Calibri" w:eastAsia="Calibri" w:hAnsi="Calibri" w:cs="Calibri"/>
          <w:sz w:val="24"/>
          <w:szCs w:val="24"/>
        </w:rPr>
        <w:t>ZoU</w:t>
      </w:r>
      <w:proofErr w:type="spellEnd"/>
      <w:r>
        <w:rPr>
          <w:rFonts w:ascii="Calibri" w:eastAsia="Calibri" w:hAnsi="Calibri" w:cs="Calibri"/>
          <w:sz w:val="24"/>
          <w:szCs w:val="24"/>
        </w:rPr>
        <w:t>)</w:t>
      </w:r>
    </w:p>
    <w:p w:rsidR="00B87364" w:rsidRDefault="00B87364">
      <w:pPr>
        <w:spacing w:after="120" w:line="240" w:lineRule="auto"/>
        <w:ind w:right="-471"/>
        <w:jc w:val="both"/>
      </w:pPr>
    </w:p>
    <w:p w:rsidR="00B87364" w:rsidRDefault="00B87364">
      <w:pPr>
        <w:spacing w:after="120" w:line="240" w:lineRule="auto"/>
      </w:pPr>
    </w:p>
    <w:p w:rsidR="00B87364" w:rsidRDefault="00752F78">
      <w:pPr>
        <w:spacing w:after="120" w:line="240" w:lineRule="auto"/>
        <w:ind w:right="-471"/>
        <w:jc w:val="both"/>
      </w:pPr>
      <w:r>
        <w:rPr>
          <w:rFonts w:ascii="Calibri" w:eastAsia="Calibri" w:hAnsi="Calibri" w:cs="Calibri"/>
          <w:sz w:val="24"/>
          <w:szCs w:val="24"/>
        </w:rPr>
        <w:lastRenderedPageBreak/>
        <w:tab/>
      </w:r>
      <w:r>
        <w:rPr>
          <w:rFonts w:ascii="Calibri" w:eastAsia="Calibri" w:hAnsi="Calibri" w:cs="Calibri"/>
          <w:sz w:val="24"/>
          <w:szCs w:val="24"/>
        </w:rPr>
        <w:tab/>
      </w:r>
    </w:p>
    <w:sectPr w:rsidR="00B87364" w:rsidSect="00FF1471">
      <w:headerReference w:type="default" r:id="rId7"/>
      <w:footerReference w:type="default" r:id="rId8"/>
      <w:pgSz w:w="11907" w:h="16840"/>
      <w:pgMar w:top="1417" w:right="992" w:bottom="1417" w:left="1417" w:header="708" w:footer="708" w:gutter="0"/>
      <w:pgNumType w:start="1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F011B" w:rsidRDefault="007F011B">
      <w:pPr>
        <w:spacing w:line="240" w:lineRule="auto"/>
      </w:pPr>
      <w:r>
        <w:separator/>
      </w:r>
    </w:p>
  </w:endnote>
  <w:endnote w:type="continuationSeparator" w:id="0">
    <w:p w:rsidR="007F011B" w:rsidRDefault="007F011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Georgia">
    <w:panose1 w:val="02040502050405020303"/>
    <w:charset w:val="EE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9F771C">
    <w:pPr>
      <w:tabs>
        <w:tab w:val="center" w:pos="4536"/>
        <w:tab w:val="right" w:pos="9072"/>
      </w:tabs>
      <w:spacing w:line="240" w:lineRule="auto"/>
      <w:jc w:val="right"/>
    </w:pPr>
    <w:r>
      <w:fldChar w:fldCharType="begin"/>
    </w:r>
    <w:r w:rsidR="00752F78">
      <w:instrText>PAGE</w:instrText>
    </w:r>
    <w:r>
      <w:fldChar w:fldCharType="separate"/>
    </w:r>
    <w:r w:rsidR="00186DEE">
      <w:rPr>
        <w:noProof/>
      </w:rPr>
      <w:t>4</w:t>
    </w:r>
    <w:r>
      <w:fldChar w:fldCharType="end"/>
    </w:r>
  </w:p>
  <w:p w:rsidR="00B87364" w:rsidRDefault="00B87364">
    <w:pPr>
      <w:tabs>
        <w:tab w:val="center" w:pos="4536"/>
        <w:tab w:val="right" w:pos="9072"/>
      </w:tabs>
      <w:spacing w:after="567" w:line="240" w:lineRule="auto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F011B" w:rsidRDefault="007F011B">
      <w:pPr>
        <w:spacing w:line="240" w:lineRule="auto"/>
      </w:pPr>
      <w:r>
        <w:separator/>
      </w:r>
    </w:p>
  </w:footnote>
  <w:footnote w:type="continuationSeparator" w:id="0">
    <w:p w:rsidR="007F011B" w:rsidRDefault="007F011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87364" w:rsidRDefault="00752F78">
    <w:pPr>
      <w:widowControl w:val="0"/>
      <w:tabs>
        <w:tab w:val="left" w:pos="2990"/>
        <w:tab w:val="left" w:pos="6348"/>
      </w:tabs>
      <w:spacing w:before="567" w:line="240" w:lineRule="auto"/>
      <w:ind w:left="-397"/>
      <w:jc w:val="center"/>
    </w:pPr>
    <w:r>
      <w:t xml:space="preserve"> Poznámky </w:t>
    </w:r>
    <w:proofErr w:type="spellStart"/>
    <w:r>
      <w:t>Úč</w:t>
    </w:r>
    <w:proofErr w:type="spellEnd"/>
    <w:r>
      <w:t xml:space="preserve"> POD 3 – 01          </w:t>
    </w:r>
    <w:r>
      <w:rPr>
        <w:color w:val="707070"/>
        <w:sz w:val="18"/>
        <w:szCs w:val="18"/>
        <w:highlight w:val="white"/>
      </w:rPr>
      <w:tab/>
    </w:r>
    <w:r>
      <w:t xml:space="preserve">                 IČO: </w:t>
    </w:r>
    <w:r w:rsidR="001C3389">
      <w:t>47580593         DIČ: 2023981905</w:t>
    </w:r>
  </w:p>
  <w:p w:rsidR="00B87364" w:rsidRDefault="00B87364">
    <w:pPr>
      <w:tabs>
        <w:tab w:val="center" w:pos="4703"/>
        <w:tab w:val="right" w:pos="9406"/>
      </w:tabs>
      <w:spacing w:line="240" w:lineRule="aut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F64C91"/>
    <w:multiLevelType w:val="multilevel"/>
    <w:tmpl w:val="1EECCF62"/>
    <w:lvl w:ilvl="0"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1" w15:restartNumberingAfterBreak="0">
    <w:nsid w:val="286D243E"/>
    <w:multiLevelType w:val="multilevel"/>
    <w:tmpl w:val="5072A10A"/>
    <w:lvl w:ilvl="0">
      <w:start w:val="6"/>
      <w:numFmt w:val="bullet"/>
      <w:lvlText w:val="-"/>
      <w:lvlJc w:val="left"/>
      <w:pPr>
        <w:ind w:left="720" w:firstLine="36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440" w:firstLine="108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2160" w:firstLine="180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880" w:firstLine="252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600" w:firstLine="324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4320" w:firstLine="396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5040" w:firstLine="468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760" w:firstLine="540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480" w:firstLine="6120"/>
      </w:pPr>
      <w:rPr>
        <w:rFonts w:ascii="Arial" w:eastAsia="Arial" w:hAnsi="Arial" w:cs="Arial"/>
        <w:vertAlign w:val="baseline"/>
      </w:rPr>
    </w:lvl>
  </w:abstractNum>
  <w:abstractNum w:abstractNumId="2" w15:restartNumberingAfterBreak="0">
    <w:nsid w:val="4CAE6D9F"/>
    <w:multiLevelType w:val="multilevel"/>
    <w:tmpl w:val="6D68A1C2"/>
    <w:lvl w:ilvl="0">
      <w:start w:val="1"/>
      <w:numFmt w:val="bullet"/>
      <w:lvlText w:val="➢"/>
      <w:lvlJc w:val="left"/>
      <w:pPr>
        <w:ind w:left="360" w:firstLine="0"/>
      </w:pPr>
      <w:rPr>
        <w:rFonts w:ascii="Arial" w:eastAsia="Arial" w:hAnsi="Arial" w:cs="Arial"/>
        <w:vertAlign w:val="baseline"/>
      </w:rPr>
    </w:lvl>
    <w:lvl w:ilvl="1">
      <w:start w:val="1"/>
      <w:numFmt w:val="bullet"/>
      <w:lvlText w:val="o"/>
      <w:lvlJc w:val="left"/>
      <w:pPr>
        <w:ind w:left="1080" w:firstLine="720"/>
      </w:pPr>
      <w:rPr>
        <w:rFonts w:ascii="Arial" w:eastAsia="Arial" w:hAnsi="Arial" w:cs="Arial"/>
        <w:vertAlign w:val="baseline"/>
      </w:rPr>
    </w:lvl>
    <w:lvl w:ilvl="2">
      <w:start w:val="1"/>
      <w:numFmt w:val="bullet"/>
      <w:lvlText w:val="▪"/>
      <w:lvlJc w:val="left"/>
      <w:pPr>
        <w:ind w:left="1800" w:firstLine="1440"/>
      </w:pPr>
      <w:rPr>
        <w:rFonts w:ascii="Arial" w:eastAsia="Arial" w:hAnsi="Arial" w:cs="Arial"/>
        <w:vertAlign w:val="baseline"/>
      </w:rPr>
    </w:lvl>
    <w:lvl w:ilvl="3">
      <w:start w:val="1"/>
      <w:numFmt w:val="bullet"/>
      <w:lvlText w:val="●"/>
      <w:lvlJc w:val="left"/>
      <w:pPr>
        <w:ind w:left="2520" w:firstLine="2160"/>
      </w:pPr>
      <w:rPr>
        <w:rFonts w:ascii="Arial" w:eastAsia="Arial" w:hAnsi="Arial" w:cs="Arial"/>
        <w:vertAlign w:val="baseline"/>
      </w:rPr>
    </w:lvl>
    <w:lvl w:ilvl="4">
      <w:start w:val="1"/>
      <w:numFmt w:val="bullet"/>
      <w:lvlText w:val="o"/>
      <w:lvlJc w:val="left"/>
      <w:pPr>
        <w:ind w:left="3240" w:firstLine="2880"/>
      </w:pPr>
      <w:rPr>
        <w:rFonts w:ascii="Arial" w:eastAsia="Arial" w:hAnsi="Arial" w:cs="Arial"/>
        <w:vertAlign w:val="baseline"/>
      </w:rPr>
    </w:lvl>
    <w:lvl w:ilvl="5">
      <w:start w:val="1"/>
      <w:numFmt w:val="bullet"/>
      <w:lvlText w:val="▪"/>
      <w:lvlJc w:val="left"/>
      <w:pPr>
        <w:ind w:left="3960" w:firstLine="3600"/>
      </w:pPr>
      <w:rPr>
        <w:rFonts w:ascii="Arial" w:eastAsia="Arial" w:hAnsi="Arial" w:cs="Arial"/>
        <w:vertAlign w:val="baseline"/>
      </w:rPr>
    </w:lvl>
    <w:lvl w:ilvl="6">
      <w:start w:val="1"/>
      <w:numFmt w:val="bullet"/>
      <w:lvlText w:val="●"/>
      <w:lvlJc w:val="left"/>
      <w:pPr>
        <w:ind w:left="4680" w:firstLine="4320"/>
      </w:pPr>
      <w:rPr>
        <w:rFonts w:ascii="Arial" w:eastAsia="Arial" w:hAnsi="Arial" w:cs="Arial"/>
        <w:vertAlign w:val="baseline"/>
      </w:rPr>
    </w:lvl>
    <w:lvl w:ilvl="7">
      <w:start w:val="1"/>
      <w:numFmt w:val="bullet"/>
      <w:lvlText w:val="o"/>
      <w:lvlJc w:val="left"/>
      <w:pPr>
        <w:ind w:left="5400" w:firstLine="5040"/>
      </w:pPr>
      <w:rPr>
        <w:rFonts w:ascii="Arial" w:eastAsia="Arial" w:hAnsi="Arial" w:cs="Arial"/>
        <w:vertAlign w:val="baseline"/>
      </w:rPr>
    </w:lvl>
    <w:lvl w:ilvl="8">
      <w:start w:val="1"/>
      <w:numFmt w:val="bullet"/>
      <w:lvlText w:val="▪"/>
      <w:lvlJc w:val="left"/>
      <w:pPr>
        <w:ind w:left="6120" w:firstLine="5760"/>
      </w:pPr>
      <w:rPr>
        <w:rFonts w:ascii="Arial" w:eastAsia="Arial" w:hAnsi="Arial" w:cs="Arial"/>
        <w:vertAlign w:val="baseline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7364"/>
    <w:rsid w:val="00064143"/>
    <w:rsid w:val="000A6AD0"/>
    <w:rsid w:val="000B4AB3"/>
    <w:rsid w:val="000F7B2F"/>
    <w:rsid w:val="001024C4"/>
    <w:rsid w:val="001044E0"/>
    <w:rsid w:val="00182DC8"/>
    <w:rsid w:val="00186DEE"/>
    <w:rsid w:val="001C3389"/>
    <w:rsid w:val="001E1E59"/>
    <w:rsid w:val="00270825"/>
    <w:rsid w:val="002714F9"/>
    <w:rsid w:val="00310231"/>
    <w:rsid w:val="00312FCC"/>
    <w:rsid w:val="003138EA"/>
    <w:rsid w:val="00324025"/>
    <w:rsid w:val="003459F0"/>
    <w:rsid w:val="003472EF"/>
    <w:rsid w:val="00450E83"/>
    <w:rsid w:val="004C3B25"/>
    <w:rsid w:val="004D2C1B"/>
    <w:rsid w:val="004D343B"/>
    <w:rsid w:val="005C61F3"/>
    <w:rsid w:val="00630293"/>
    <w:rsid w:val="006357DB"/>
    <w:rsid w:val="00690DEC"/>
    <w:rsid w:val="007058F8"/>
    <w:rsid w:val="00752F78"/>
    <w:rsid w:val="007B23BD"/>
    <w:rsid w:val="007F011B"/>
    <w:rsid w:val="007F4DAB"/>
    <w:rsid w:val="008303B2"/>
    <w:rsid w:val="008A730C"/>
    <w:rsid w:val="00943809"/>
    <w:rsid w:val="0097737C"/>
    <w:rsid w:val="009F771C"/>
    <w:rsid w:val="00A67C67"/>
    <w:rsid w:val="00AD5EF8"/>
    <w:rsid w:val="00B22045"/>
    <w:rsid w:val="00B87364"/>
    <w:rsid w:val="00C315F2"/>
    <w:rsid w:val="00C36EB0"/>
    <w:rsid w:val="00CF2930"/>
    <w:rsid w:val="00D107DB"/>
    <w:rsid w:val="00D42EB4"/>
    <w:rsid w:val="00D93A46"/>
    <w:rsid w:val="00DB445D"/>
    <w:rsid w:val="00DE22B4"/>
    <w:rsid w:val="00E27AE3"/>
    <w:rsid w:val="00EB41F8"/>
    <w:rsid w:val="00EC2695"/>
    <w:rsid w:val="00FF14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35CF716"/>
  <w15:docId w15:val="{5FE9542B-3C12-4968-8773-6BB6C38201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Arial" w:eastAsia="Arial" w:hAnsi="Arial" w:cs="Arial"/>
        <w:color w:val="000000"/>
        <w:sz w:val="22"/>
        <w:szCs w:val="22"/>
        <w:lang w:val="sk-SK" w:eastAsia="sk-SK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</w:style>
  <w:style w:type="paragraph" w:styleId="Nadpis1">
    <w:name w:val="heading 1"/>
    <w:basedOn w:val="Normlny"/>
    <w:next w:val="Normlny"/>
    <w:pPr>
      <w:keepNext/>
      <w:keepLines/>
      <w:spacing w:before="480" w:after="120"/>
      <w:contextualSpacing/>
      <w:outlineLvl w:val="0"/>
    </w:pPr>
    <w:rPr>
      <w:b/>
      <w:sz w:val="48"/>
      <w:szCs w:val="48"/>
    </w:rPr>
  </w:style>
  <w:style w:type="paragraph" w:styleId="Nadpis2">
    <w:name w:val="heading 2"/>
    <w:basedOn w:val="Normlny"/>
    <w:next w:val="Normlny"/>
    <w:pPr>
      <w:keepNext/>
      <w:keepLines/>
      <w:spacing w:before="360" w:after="80"/>
      <w:contextualSpacing/>
      <w:outlineLvl w:val="1"/>
    </w:pPr>
    <w:rPr>
      <w:b/>
      <w:sz w:val="36"/>
      <w:szCs w:val="36"/>
    </w:rPr>
  </w:style>
  <w:style w:type="paragraph" w:styleId="Nadpis3">
    <w:name w:val="heading 3"/>
    <w:basedOn w:val="Normlny"/>
    <w:next w:val="Normlny"/>
    <w:pPr>
      <w:keepNext/>
      <w:keepLines/>
      <w:spacing w:before="280" w:after="80"/>
      <w:contextualSpacing/>
      <w:outlineLvl w:val="2"/>
    </w:pPr>
    <w:rPr>
      <w:b/>
      <w:sz w:val="28"/>
      <w:szCs w:val="28"/>
    </w:rPr>
  </w:style>
  <w:style w:type="paragraph" w:styleId="Nadpis4">
    <w:name w:val="heading 4"/>
    <w:basedOn w:val="Normlny"/>
    <w:next w:val="Normlny"/>
    <w:pPr>
      <w:keepNext/>
      <w:keepLines/>
      <w:spacing w:before="240" w:after="40"/>
      <w:contextualSpacing/>
      <w:outlineLvl w:val="3"/>
    </w:pPr>
    <w:rPr>
      <w:b/>
      <w:sz w:val="24"/>
      <w:szCs w:val="24"/>
    </w:rPr>
  </w:style>
  <w:style w:type="paragraph" w:styleId="Nadpis5">
    <w:name w:val="heading 5"/>
    <w:basedOn w:val="Normlny"/>
    <w:next w:val="Normlny"/>
    <w:pPr>
      <w:keepNext/>
      <w:keepLines/>
      <w:spacing w:before="220" w:after="40"/>
      <w:contextualSpacing/>
      <w:outlineLvl w:val="4"/>
    </w:pPr>
    <w:rPr>
      <w:b/>
    </w:rPr>
  </w:style>
  <w:style w:type="paragraph" w:styleId="Nadpis6">
    <w:name w:val="heading 6"/>
    <w:basedOn w:val="Normlny"/>
    <w:next w:val="Normlny"/>
    <w:pPr>
      <w:keepNext/>
      <w:keepLines/>
      <w:spacing w:before="200" w:after="40"/>
      <w:contextualSpacing/>
      <w:outlineLvl w:val="5"/>
    </w:pPr>
    <w:rPr>
      <w:b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Nzov">
    <w:name w:val="Title"/>
    <w:basedOn w:val="Normlny"/>
    <w:next w:val="Normlny"/>
    <w:pPr>
      <w:keepNext/>
      <w:keepLines/>
      <w:spacing w:before="480" w:after="120"/>
      <w:contextualSpacing/>
    </w:pPr>
    <w:rPr>
      <w:b/>
      <w:sz w:val="72"/>
      <w:szCs w:val="72"/>
    </w:rPr>
  </w:style>
  <w:style w:type="paragraph" w:styleId="Podtitul">
    <w:name w:val="Subtitle"/>
    <w:basedOn w:val="Normlny"/>
    <w:next w:val="Normlny"/>
    <w:pPr>
      <w:keepNext/>
      <w:keepLines/>
      <w:spacing w:before="360" w:after="80"/>
      <w:contextualSpacing/>
    </w:pPr>
    <w:rPr>
      <w:rFonts w:ascii="Georgia" w:eastAsia="Georgia" w:hAnsi="Georgia" w:cs="Georgia"/>
      <w:i/>
      <w:color w:val="666666"/>
      <w:sz w:val="48"/>
      <w:szCs w:val="48"/>
    </w:rPr>
  </w:style>
  <w:style w:type="table" w:customStyle="1" w:styleId="a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0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1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2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3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table" w:customStyle="1" w:styleId="a4">
    <w:basedOn w:val="TableNormal1"/>
    <w:tblPr>
      <w:tblStyleRowBandSize w:val="1"/>
      <w:tblStyleColBandSize w:val="1"/>
      <w:tblCellMar>
        <w:left w:w="108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459F0"/>
  </w:style>
  <w:style w:type="paragraph" w:styleId="Pta">
    <w:name w:val="footer"/>
    <w:basedOn w:val="Normlny"/>
    <w:link w:val="PtaChar"/>
    <w:uiPriority w:val="99"/>
    <w:unhideWhenUsed/>
    <w:rsid w:val="003459F0"/>
    <w:pPr>
      <w:tabs>
        <w:tab w:val="center" w:pos="4536"/>
        <w:tab w:val="right" w:pos="9072"/>
      </w:tabs>
      <w:spacing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459F0"/>
  </w:style>
  <w:style w:type="character" w:customStyle="1" w:styleId="apple-converted-space">
    <w:name w:val="apple-converted-space"/>
    <w:basedOn w:val="Predvolenpsmoodseku"/>
    <w:rsid w:val="0097737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6</Pages>
  <Words>1205</Words>
  <Characters>6875</Characters>
  <Application>Microsoft Office Word</Application>
  <DocSecurity>0</DocSecurity>
  <Lines>57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8064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Janka</dc:creator>
  <cp:lastModifiedBy>Janka</cp:lastModifiedBy>
  <cp:revision>3</cp:revision>
  <dcterms:created xsi:type="dcterms:W3CDTF">2024-05-20T08:48:00Z</dcterms:created>
  <dcterms:modified xsi:type="dcterms:W3CDTF">2024-05-20T08:50:00Z</dcterms:modified>
</cp:coreProperties>
</file>