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9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1"/>
      </w:tblGrid>
      <w:tr>
        <w:trPr/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8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Ulica 1. mája 15, 901 01 Malacky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Marta Prochyrová, štatutárna zástupkyňa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 Peter Štaffen, predseda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Mgr.Martina Ambrušová,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Ariana Kemková,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Eva Krššáková,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Jančí,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JUDr. Mária Zajacová, predseda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Kristína Lončeková,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Martina Vaseková, členka dozornej rady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6"/>
        <w:gridCol w:w="6975"/>
      </w:tblGrid>
      <w:tr>
        <w:trPr>
          <w:trHeight w:val="284" w:hRule="atLeast"/>
        </w:trPr>
        <w:tc>
          <w:tcPr>
            <w:tcW w:w="282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služby: 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2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8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27"/>
        <w:gridCol w:w="2609"/>
        <w:gridCol w:w="2642"/>
      </w:tblGrid>
      <w:tr>
        <w:trPr>
          <w:trHeight w:val="205" w:hRule="atLeast"/>
        </w:trPr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2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>
        <w:trPr>
          <w:trHeight w:val="205" w:hRule="atLeast"/>
        </w:trPr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05" w:hRule="atLeast"/>
        </w:trPr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spacing w:lineRule="auto" w:line="240" w:before="120" w:after="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spacing w:lineRule="auto" w:line="240" w:before="12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8"/>
        <w:gridCol w:w="3484"/>
      </w:tblGrid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8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81"/>
        <w:gridCol w:w="2465"/>
        <w:gridCol w:w="2466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/>
      </w:pPr>
      <w:r>
        <w:rPr>
          <w:sz w:val="18"/>
          <w:szCs w:val="18"/>
        </w:rPr>
        <w:t xml:space="preserve">Zásady pre zohľadnenie zníženia hodnoty majetku – neuplatňuje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1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83"/>
        <w:gridCol w:w="709"/>
        <w:gridCol w:w="850"/>
        <w:gridCol w:w="858"/>
        <w:gridCol w:w="850"/>
        <w:gridCol w:w="992"/>
        <w:gridCol w:w="709"/>
        <w:gridCol w:w="858"/>
        <w:gridCol w:w="850"/>
        <w:gridCol w:w="709"/>
        <w:gridCol w:w="142"/>
        <w:gridCol w:w="575"/>
        <w:gridCol w:w="859"/>
      </w:tblGrid>
      <w:tr>
        <w:trPr>
          <w:trHeight w:val="1020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  <w:lang w:eastAsia="sk-SK"/>
              </w:rPr>
              <w:t>2 332,02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113 297,19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2 777,00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112 974,19 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62 299,49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3 100,00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113 297,19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323,00</w:t>
            </w:r>
          </w:p>
        </w:tc>
      </w:tr>
      <w:tr>
        <w:trPr>
          <w:trHeight w:val="40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49"/>
        <w:gridCol w:w="3476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181,35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433,20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292,50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67,20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55 561,87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47 474,20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56 035,72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47 974,60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48"/>
        <w:gridCol w:w="2166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</w:t>
            </w:r>
          </w:p>
        </w:tc>
        <w:tc>
          <w:tcPr>
            <w:tcW w:w="4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 – podnikateľská činnosť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21 051,50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z chránenej dielne – podnikateľská činnosť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5 760,00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Tržba za tovar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1 705,20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28 516,70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50"/>
        <w:gridCol w:w="1491"/>
        <w:gridCol w:w="1490"/>
        <w:gridCol w:w="1480"/>
        <w:gridCol w:w="1491"/>
        <w:gridCol w:w="1675"/>
      </w:tblGrid>
      <w:tr>
        <w:trPr>
          <w:trHeight w:val="608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 – daňový úrad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27"/>
        <w:gridCol w:w="3141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1 027,87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931,01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4 657,73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3 277,63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5 685,60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4 208,64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4889"/>
        <w:gridCol w:w="2165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 motorového vozidla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55,64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Dotácia, práce za mesiac december</w:t>
            </w:r>
          </w:p>
        </w:tc>
        <w:tc>
          <w:tcPr>
            <w:tcW w:w="2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2 201,70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č.OVVS-1929/204/2006-NO peňažným vkladom vo výške 33,19 EUR a následne sa v priebehu činnosti účtovnej jednotky navyšovalo základné imanie vkladmi zakladateľa.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Organizácia neúčtovala o opravách významných chýb v priebehu účtovného obdobia 2023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6"/>
        <w:gridCol w:w="1143"/>
        <w:gridCol w:w="1139"/>
        <w:gridCol w:w="1138"/>
        <w:gridCol w:w="1139"/>
        <w:gridCol w:w="1222"/>
      </w:tblGrid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-35 944,21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11 963,95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-23 980,26</w:t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11 963,95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697,83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-11 963,95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697,83</w:t>
            </w:r>
          </w:p>
        </w:tc>
      </w:tr>
      <w:tr>
        <w:trPr>
          <w:trHeight w:val="210" w:hRule="atLeast"/>
        </w:trPr>
        <w:tc>
          <w:tcPr>
            <w:tcW w:w="37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34 746,04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697,83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35 443,87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2"/>
        <w:gridCol w:w="2250"/>
      </w:tblGrid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11 963,95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účtovného zisku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color w:val="000000"/>
                <w:sz w:val="16"/>
                <w:szCs w:val="16"/>
              </w:rPr>
              <w:t>11 963,95</w:t>
            </w:r>
          </w:p>
        </w:tc>
      </w:tr>
      <w:tr>
        <w:trPr>
          <w:trHeight w:val="146" w:hRule="atLeast"/>
        </w:trPr>
        <w:tc>
          <w:tcPr>
            <w:tcW w:w="5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52"/>
        <w:gridCol w:w="1086"/>
        <w:gridCol w:w="1414"/>
        <w:gridCol w:w="1414"/>
        <w:gridCol w:w="1410"/>
        <w:gridCol w:w="1401"/>
      </w:tblGrid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2 005,76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4 517,46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2 005,76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4 517,46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1 200,00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1 200,00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vypracovanie daňového priznania a účtovníctvo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520,00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520,00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2 825,76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6 237,46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2 825,76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6 237,46</w:t>
            </w:r>
          </w:p>
        </w:tc>
      </w:tr>
      <w:tr>
        <w:trPr>
          <w:trHeight w:val="284" w:hRule="atLeast"/>
        </w:trPr>
        <w:tc>
          <w:tcPr>
            <w:tcW w:w="32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2 825,76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6 237,46</w:t>
            </w:r>
          </w:p>
        </w:tc>
        <w:tc>
          <w:tcPr>
            <w:tcW w:w="1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2 825,76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6 237,46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13 041,65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10 914,29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299,13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556,80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13 340,78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11 471,09</w:t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2"/>
        <w:gridCol w:w="2504"/>
        <w:gridCol w:w="2502"/>
      </w:tblGrid>
      <w:tr>
        <w:trPr>
          <w:trHeight w:val="284" w:hRule="atLeast"/>
        </w:trPr>
        <w:tc>
          <w:tcPr>
            <w:tcW w:w="4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0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299,13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556,80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13 041,65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10 914,29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13 340,78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11 471,09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322,98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180,70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322,98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180,70</w:t>
            </w:r>
          </w:p>
        </w:tc>
      </w:tr>
      <w:tr>
        <w:trPr>
          <w:trHeight w:val="284" w:hRule="atLeast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13 663,76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11 651,79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8"/>
        <w:gridCol w:w="3147"/>
        <w:gridCol w:w="3113"/>
      </w:tblGrid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180,70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540,08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557,57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397,80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376,87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322,98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180,70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6 192,98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8 633,57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6 192,98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8 633,57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2"/>
        <w:gridCol w:w="2969"/>
        <w:gridCol w:w="2987"/>
      </w:tblGrid>
      <w:tr>
        <w:trPr>
          <w:trHeight w:val="284" w:hRule="atLeast"/>
        </w:trPr>
        <w:tc>
          <w:tcPr>
            <w:tcW w:w="40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65 134,54</w:t>
            </w:r>
          </w:p>
        </w:tc>
        <w:tc>
          <w:tcPr>
            <w:tcW w:w="29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36 617,84</w:t>
            </w:r>
          </w:p>
        </w:tc>
        <w:tc>
          <w:tcPr>
            <w:tcW w:w="298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28 516,70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6 010,00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2 130,00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15 507,56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70 381,59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27 148,20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sz w:val="18"/>
          <w:szCs w:val="18"/>
        </w:rPr>
      </w:pPr>
      <w:r>
        <w:rPr>
          <w:sz w:val="18"/>
          <w:szCs w:val="18"/>
        </w:rPr>
      </w:r>
      <w:r>
        <w:br w:type="page"/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materiálu pre chránenú dielňu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4 122,47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489,20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439,57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1 099,29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6 150,53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plynu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4 434,00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elektriny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997,85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Stočné, vodné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79,87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5 511,72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Ekonomické služby – 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6 298,00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Nájomné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2 742,00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926,79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843,97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224,00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Odvoz odpadu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172,80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797,84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12 005,40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311,40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Ostatné poplatky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171,08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-41,91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440,57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95"/>
        <w:gridCol w:w="2733"/>
        <w:gridCol w:w="2250"/>
      </w:tblGrid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pre chránenú dielňu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3 494,65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 pre chránenú dielňu</w:t>
            </w:r>
          </w:p>
        </w:tc>
        <w:tc>
          <w:tcPr>
            <w:tcW w:w="2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2 698,33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8 633,57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4"/>
        <w:gridCol w:w="3173"/>
      </w:tblGrid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1 000,00</w:t>
            </w:r>
          </w:p>
        </w:tc>
      </w:tr>
      <w:tr>
        <w:trPr>
          <w:trHeight w:val="284" w:hRule="atLeast"/>
        </w:trPr>
        <w:tc>
          <w:tcPr>
            <w:tcW w:w="66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1 000,00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neobsahuje zákonnú DPH vo výške 200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Nezisková organizácia má v prenájme nehnuteľnosť Jakubove 79,  900 63 Jakubov. Tieto priestory využíva na prevádzku chránenej dielne, rehabilitačné aktivity a iné činnosti spojené s verejnoprospešnou činnosťou. Ročné náklady na prenájom sú 1 992 EUR. Zmluva s prenajímateľom je uzatvorená na dobu neurčitú. Okrem toho má organizácia v prenájme nehnuteľnosť od Rímskokatolíckej cirkvi, mesačné náklady predstavujú 150 EUR a zmluva je platná do 07/2028.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významné skutočnosti, ktoré by mali významný vplyv na údaje vykázané v účtovnej závierke.</w:t>
      </w:r>
    </w:p>
    <w:p>
      <w:pPr>
        <w:pStyle w:val="Normal"/>
        <w:spacing w:lineRule="auto" w:line="240" w:before="0" w:after="12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rFonts w:cs="Arial"/>
      <w:b/>
      <w:bCs/>
      <w:i w:val="false"/>
      <w:iCs w:val="false"/>
      <w:sz w:val="24"/>
      <w:szCs w:val="24"/>
    </w:rPr>
  </w:style>
  <w:style w:type="character" w:styleId="ListLabel112" w:customStyle="1">
    <w:name w:val="ListLabel 112"/>
    <w:qFormat/>
    <w:rPr>
      <w:b/>
      <w:bCs/>
      <w:i w:val="false"/>
      <w:iCs w:val="false"/>
    </w:rPr>
  </w:style>
  <w:style w:type="character" w:styleId="ListLabel113" w:customStyle="1">
    <w:name w:val="ListLabel 113"/>
    <w:qFormat/>
    <w:rPr>
      <w:b w:val="false"/>
      <w:bCs w:val="false"/>
      <w:i w:val="false"/>
      <w:iCs w:val="false"/>
      <w:sz w:val="16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8"/>
    </w:rPr>
  </w:style>
  <w:style w:type="character" w:styleId="ListLabel115" w:customStyle="1">
    <w:name w:val="ListLabel 115"/>
    <w:qFormat/>
    <w:rPr>
      <w:rFonts w:cs="Symbol"/>
      <w:sz w:val="16"/>
    </w:rPr>
  </w:style>
  <w:style w:type="character" w:styleId="ListLabel116" w:customStyle="1">
    <w:name w:val="ListLabel 116"/>
    <w:qFormat/>
    <w:rPr>
      <w:rFonts w:cs="Courier New"/>
    </w:rPr>
  </w:style>
  <w:style w:type="character" w:styleId="ListLabel117" w:customStyle="1">
    <w:name w:val="ListLabel 117"/>
    <w:qFormat/>
    <w:rPr>
      <w:rFonts w:cs="Wingdings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Courier New"/>
    </w:rPr>
  </w:style>
  <w:style w:type="character" w:styleId="ListLabel120" w:customStyle="1">
    <w:name w:val="ListLabel 120"/>
    <w:qFormat/>
    <w:rPr>
      <w:rFonts w:cs="Wingdings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Courier New"/>
    </w:rPr>
  </w:style>
  <w:style w:type="character" w:styleId="ListLabel123" w:customStyle="1">
    <w:name w:val="ListLabel 123"/>
    <w:qFormat/>
    <w:rPr>
      <w:rFonts w:cs="Wingdings"/>
    </w:rPr>
  </w:style>
  <w:style w:type="character" w:styleId="ListLabel124" w:customStyle="1">
    <w:name w:val="ListLabel 124"/>
    <w:qFormat/>
    <w:rPr>
      <w:sz w:val="18"/>
      <w:szCs w:val="16"/>
    </w:rPr>
  </w:style>
  <w:style w:type="character" w:styleId="ListLabel125" w:customStyle="1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 w:customStyle="1">
    <w:name w:val="ListLabel 126"/>
    <w:qFormat/>
    <w:rPr>
      <w:b/>
      <w:bCs/>
      <w:i w:val="false"/>
      <w:iCs w:val="false"/>
    </w:rPr>
  </w:style>
  <w:style w:type="character" w:styleId="ListLabel127" w:customStyle="1">
    <w:name w:val="ListLabel 127"/>
    <w:qFormat/>
    <w:rPr>
      <w:b w:val="false"/>
      <w:bCs w:val="false"/>
      <w:i w:val="false"/>
      <w:iCs w:val="false"/>
      <w:sz w:val="16"/>
    </w:rPr>
  </w:style>
  <w:style w:type="character" w:styleId="ListLabel128" w:customStyle="1">
    <w:name w:val="ListLabel 128"/>
    <w:qFormat/>
    <w:rPr>
      <w:b w:val="false"/>
      <w:bCs w:val="false"/>
      <w:i w:val="false"/>
      <w:iCs w:val="false"/>
      <w:sz w:val="18"/>
    </w:rPr>
  </w:style>
  <w:style w:type="character" w:styleId="ListLabel129" w:customStyle="1">
    <w:name w:val="ListLabel 129"/>
    <w:qFormat/>
    <w:rPr>
      <w:rFonts w:cs="Symbol"/>
      <w:sz w:val="16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Symbol"/>
    </w:rPr>
  </w:style>
  <w:style w:type="character" w:styleId="ListLabel133" w:customStyle="1">
    <w:name w:val="ListLabel 133"/>
    <w:qFormat/>
    <w:rPr>
      <w:rFonts w:cs="Courier New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sz w:val="18"/>
      <w:szCs w:val="16"/>
    </w:rPr>
  </w:style>
  <w:style w:type="character" w:styleId="ListLabel139" w:customStyle="1">
    <w:name w:val="ListLabel 139"/>
    <w:qFormat/>
    <w:rPr>
      <w:rFonts w:cs="Arial"/>
      <w:b/>
      <w:bCs/>
      <w:i w:val="false"/>
      <w:iCs w:val="false"/>
      <w:sz w:val="24"/>
      <w:szCs w:val="24"/>
    </w:rPr>
  </w:style>
  <w:style w:type="character" w:styleId="ListLabel140" w:customStyle="1">
    <w:name w:val="ListLabel 140"/>
    <w:qFormat/>
    <w:rPr>
      <w:b/>
      <w:bCs/>
      <w:i w:val="false"/>
      <w:iCs w:val="false"/>
    </w:rPr>
  </w:style>
  <w:style w:type="character" w:styleId="ListLabel141" w:customStyle="1">
    <w:name w:val="ListLabel 141"/>
    <w:qFormat/>
    <w:rPr>
      <w:b w:val="false"/>
      <w:bCs w:val="false"/>
      <w:i w:val="false"/>
      <w:iCs w:val="false"/>
      <w:sz w:val="16"/>
    </w:rPr>
  </w:style>
  <w:style w:type="character" w:styleId="ListLabel142" w:customStyle="1">
    <w:name w:val="ListLabel 142"/>
    <w:qFormat/>
    <w:rPr>
      <w:b w:val="false"/>
      <w:bCs w:val="false"/>
      <w:i w:val="false"/>
      <w:iCs w:val="false"/>
      <w:sz w:val="18"/>
    </w:rPr>
  </w:style>
  <w:style w:type="character" w:styleId="ListLabel143" w:customStyle="1">
    <w:name w:val="ListLabel 143"/>
    <w:qFormat/>
    <w:rPr>
      <w:rFonts w:cs="Symbol"/>
      <w:sz w:val="16"/>
    </w:rPr>
  </w:style>
  <w:style w:type="character" w:styleId="ListLabel144" w:customStyle="1">
    <w:name w:val="ListLabel 144"/>
    <w:qFormat/>
    <w:rPr>
      <w:rFonts w:cs="Courier New"/>
    </w:rPr>
  </w:style>
  <w:style w:type="character" w:styleId="ListLabel145" w:customStyle="1">
    <w:name w:val="ListLabel 145"/>
    <w:qFormat/>
    <w:rPr>
      <w:rFonts w:cs="Wingdings"/>
    </w:rPr>
  </w:style>
  <w:style w:type="character" w:styleId="ListLabel146" w:customStyle="1">
    <w:name w:val="ListLabel 146"/>
    <w:qFormat/>
    <w:rPr>
      <w:rFonts w:cs="Symbol"/>
    </w:rPr>
  </w:style>
  <w:style w:type="character" w:styleId="ListLabel147" w:customStyle="1">
    <w:name w:val="ListLabel 147"/>
    <w:qFormat/>
    <w:rPr>
      <w:rFonts w:cs="Courier New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Symbol"/>
    </w:rPr>
  </w:style>
  <w:style w:type="character" w:styleId="ListLabel150" w:customStyle="1">
    <w:name w:val="ListLabel 150"/>
    <w:qFormat/>
    <w:rPr>
      <w:rFonts w:cs="Courier New"/>
    </w:rPr>
  </w:style>
  <w:style w:type="character" w:styleId="ListLabel151" w:customStyle="1">
    <w:name w:val="ListLabel 151"/>
    <w:qFormat/>
    <w:rPr>
      <w:rFonts w:cs="Wingdings"/>
    </w:rPr>
  </w:style>
  <w:style w:type="character" w:styleId="ListLabel152" w:customStyle="1">
    <w:name w:val="ListLabel 152"/>
    <w:qFormat/>
    <w:rPr>
      <w:sz w:val="18"/>
      <w:szCs w:val="16"/>
    </w:rPr>
  </w:style>
  <w:style w:type="character" w:styleId="ListLabel153" w:customStyle="1">
    <w:name w:val="ListLabel 153"/>
    <w:qFormat/>
    <w:rPr>
      <w:rFonts w:cs="Arial"/>
      <w:b/>
      <w:bCs/>
      <w:i w:val="false"/>
      <w:iCs w:val="false"/>
      <w:sz w:val="24"/>
      <w:szCs w:val="24"/>
    </w:rPr>
  </w:style>
  <w:style w:type="character" w:styleId="ListLabel154" w:customStyle="1">
    <w:name w:val="ListLabel 154"/>
    <w:qFormat/>
    <w:rPr>
      <w:b/>
      <w:bCs/>
      <w:i w:val="false"/>
      <w:iCs w:val="false"/>
    </w:rPr>
  </w:style>
  <w:style w:type="character" w:styleId="ListLabel155" w:customStyle="1">
    <w:name w:val="ListLabel 155"/>
    <w:qFormat/>
    <w:rPr>
      <w:b w:val="false"/>
      <w:bCs w:val="false"/>
      <w:i w:val="false"/>
      <w:iCs w:val="false"/>
      <w:sz w:val="16"/>
    </w:rPr>
  </w:style>
  <w:style w:type="character" w:styleId="ListLabel156" w:customStyle="1">
    <w:name w:val="ListLabel 156"/>
    <w:qFormat/>
    <w:rPr>
      <w:b w:val="false"/>
      <w:bCs w:val="false"/>
      <w:i w:val="false"/>
      <w:iCs w:val="false"/>
      <w:sz w:val="18"/>
    </w:rPr>
  </w:style>
  <w:style w:type="character" w:styleId="ListLabel157" w:customStyle="1">
    <w:name w:val="ListLabel 157"/>
    <w:qFormat/>
    <w:rPr>
      <w:rFonts w:cs="Symbol"/>
      <w:sz w:val="16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Courier New"/>
    </w:rPr>
  </w:style>
  <w:style w:type="character" w:styleId="ListLabel165" w:customStyle="1">
    <w:name w:val="ListLabel 165"/>
    <w:qFormat/>
    <w:rPr>
      <w:rFonts w:cs="Wingdings"/>
    </w:rPr>
  </w:style>
  <w:style w:type="character" w:styleId="ListLabel166" w:customStyle="1">
    <w:name w:val="ListLabel 166"/>
    <w:qFormat/>
    <w:rPr>
      <w:sz w:val="18"/>
      <w:szCs w:val="16"/>
    </w:rPr>
  </w:style>
  <w:style w:type="character" w:styleId="ListLabel167" w:customStyle="1">
    <w:name w:val="ListLabel 167"/>
    <w:qFormat/>
    <w:rPr>
      <w:rFonts w:cs="Arial"/>
      <w:b/>
      <w:bCs/>
      <w:i w:val="false"/>
      <w:iCs w:val="false"/>
      <w:sz w:val="24"/>
      <w:szCs w:val="24"/>
    </w:rPr>
  </w:style>
  <w:style w:type="character" w:styleId="ListLabel168" w:customStyle="1">
    <w:name w:val="ListLabel 168"/>
    <w:qFormat/>
    <w:rPr>
      <w:b/>
      <w:bCs/>
      <w:i w:val="false"/>
      <w:iCs w:val="false"/>
    </w:rPr>
  </w:style>
  <w:style w:type="character" w:styleId="ListLabel169" w:customStyle="1">
    <w:name w:val="ListLabel 169"/>
    <w:qFormat/>
    <w:rPr>
      <w:b w:val="false"/>
      <w:bCs w:val="false"/>
      <w:i w:val="false"/>
      <w:iCs w:val="false"/>
      <w:sz w:val="16"/>
    </w:rPr>
  </w:style>
  <w:style w:type="character" w:styleId="ListLabel170" w:customStyle="1">
    <w:name w:val="ListLabel 170"/>
    <w:qFormat/>
    <w:rPr>
      <w:b w:val="false"/>
      <w:bCs w:val="false"/>
      <w:i w:val="false"/>
      <w:iCs w:val="false"/>
      <w:sz w:val="18"/>
    </w:rPr>
  </w:style>
  <w:style w:type="character" w:styleId="ListLabel171" w:customStyle="1">
    <w:name w:val="ListLabel 171"/>
    <w:qFormat/>
    <w:rPr>
      <w:rFonts w:cs="Symbol"/>
      <w:sz w:val="16"/>
    </w:rPr>
  </w:style>
  <w:style w:type="character" w:styleId="ListLabel172" w:customStyle="1">
    <w:name w:val="ListLabel 172"/>
    <w:qFormat/>
    <w:rPr>
      <w:rFonts w:cs="Courier New"/>
    </w:rPr>
  </w:style>
  <w:style w:type="character" w:styleId="ListLabel173" w:customStyle="1">
    <w:name w:val="ListLabel 173"/>
    <w:qFormat/>
    <w:rPr>
      <w:rFonts w:cs="Wingdings"/>
    </w:rPr>
  </w:style>
  <w:style w:type="character" w:styleId="ListLabel174" w:customStyle="1">
    <w:name w:val="ListLabel 174"/>
    <w:qFormat/>
    <w:rPr>
      <w:rFonts w:cs="Symbol"/>
    </w:rPr>
  </w:style>
  <w:style w:type="character" w:styleId="ListLabel175" w:customStyle="1">
    <w:name w:val="ListLabel 175"/>
    <w:qFormat/>
    <w:rPr>
      <w:rFonts w:cs="Courier New"/>
    </w:rPr>
  </w:style>
  <w:style w:type="character" w:styleId="ListLabel176" w:customStyle="1">
    <w:name w:val="ListLabel 176"/>
    <w:qFormat/>
    <w:rPr>
      <w:rFonts w:cs="Wingdings"/>
    </w:rPr>
  </w:style>
  <w:style w:type="character" w:styleId="ListLabel177" w:customStyle="1">
    <w:name w:val="ListLabel 177"/>
    <w:qFormat/>
    <w:rPr>
      <w:rFonts w:cs="Symbol"/>
    </w:rPr>
  </w:style>
  <w:style w:type="character" w:styleId="ListLabel178" w:customStyle="1">
    <w:name w:val="ListLabel 178"/>
    <w:qFormat/>
    <w:rPr>
      <w:rFonts w:cs="Courier New"/>
    </w:rPr>
  </w:style>
  <w:style w:type="character" w:styleId="ListLabel179" w:customStyle="1">
    <w:name w:val="ListLabel 179"/>
    <w:qFormat/>
    <w:rPr>
      <w:rFonts w:cs="Wingdings"/>
    </w:rPr>
  </w:style>
  <w:style w:type="character" w:styleId="ListLabel180" w:customStyle="1">
    <w:name w:val="ListLabel 180"/>
    <w:qFormat/>
    <w:rPr>
      <w:sz w:val="18"/>
      <w:szCs w:val="16"/>
    </w:rPr>
  </w:style>
  <w:style w:type="character" w:styleId="ListLabel181" w:customStyle="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 w:customStyle="1">
    <w:name w:val="ListLabel 182"/>
    <w:qFormat/>
    <w:rPr>
      <w:b/>
      <w:bCs/>
      <w:i w:val="false"/>
      <w:iCs w:val="false"/>
    </w:rPr>
  </w:style>
  <w:style w:type="character" w:styleId="ListLabel183" w:customStyle="1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 w:customStyle="1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 w:customStyle="1">
    <w:name w:val="ListLabel 185"/>
    <w:qFormat/>
    <w:rPr>
      <w:rFonts w:cs="Symbol"/>
      <w:sz w:val="16"/>
    </w:rPr>
  </w:style>
  <w:style w:type="character" w:styleId="ListLabel186" w:customStyle="1">
    <w:name w:val="ListLabel 186"/>
    <w:qFormat/>
    <w:rPr>
      <w:rFonts w:cs="Courier New"/>
    </w:rPr>
  </w:style>
  <w:style w:type="character" w:styleId="ListLabel187" w:customStyle="1">
    <w:name w:val="ListLabel 187"/>
    <w:qFormat/>
    <w:rPr>
      <w:rFonts w:cs="Wingdings"/>
    </w:rPr>
  </w:style>
  <w:style w:type="character" w:styleId="ListLabel188" w:customStyle="1">
    <w:name w:val="ListLabel 188"/>
    <w:qFormat/>
    <w:rPr>
      <w:rFonts w:cs="Symbol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sz w:val="18"/>
      <w:szCs w:val="16"/>
    </w:rPr>
  </w:style>
  <w:style w:type="character" w:styleId="ListLabel195" w:customStyle="1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 w:customStyle="1">
    <w:name w:val="ListLabel 196"/>
    <w:qFormat/>
    <w:rPr>
      <w:b/>
      <w:bCs/>
      <w:i w:val="false"/>
      <w:iCs w:val="false"/>
    </w:rPr>
  </w:style>
  <w:style w:type="character" w:styleId="ListLabel197" w:customStyle="1">
    <w:name w:val="ListLabel 197"/>
    <w:qFormat/>
    <w:rPr>
      <w:b w:val="false"/>
      <w:bCs w:val="false"/>
      <w:i w:val="false"/>
      <w:iCs w:val="false"/>
      <w:sz w:val="16"/>
    </w:rPr>
  </w:style>
  <w:style w:type="character" w:styleId="ListLabel198" w:customStyle="1">
    <w:name w:val="ListLabel 198"/>
    <w:qFormat/>
    <w:rPr>
      <w:b w:val="false"/>
      <w:bCs w:val="false"/>
      <w:i w:val="false"/>
      <w:iCs w:val="false"/>
      <w:sz w:val="18"/>
    </w:rPr>
  </w:style>
  <w:style w:type="character" w:styleId="ListLabel199" w:customStyle="1">
    <w:name w:val="ListLabel 199"/>
    <w:qFormat/>
    <w:rPr>
      <w:rFonts w:cs="Symbol"/>
      <w:sz w:val="16"/>
    </w:rPr>
  </w:style>
  <w:style w:type="character" w:styleId="ListLabel200" w:customStyle="1">
    <w:name w:val="ListLabel 200"/>
    <w:qFormat/>
    <w:rPr>
      <w:rFonts w:cs="Courier New"/>
    </w:rPr>
  </w:style>
  <w:style w:type="character" w:styleId="ListLabel201" w:customStyle="1">
    <w:name w:val="ListLabel 201"/>
    <w:qFormat/>
    <w:rPr>
      <w:rFonts w:cs="Wingdings"/>
    </w:rPr>
  </w:style>
  <w:style w:type="character" w:styleId="ListLabel202" w:customStyle="1">
    <w:name w:val="ListLabel 202"/>
    <w:qFormat/>
    <w:rPr>
      <w:rFonts w:cs="Symbol"/>
    </w:rPr>
  </w:style>
  <w:style w:type="character" w:styleId="ListLabel203" w:customStyle="1">
    <w:name w:val="ListLabel 203"/>
    <w:qFormat/>
    <w:rPr>
      <w:rFonts w:cs="Courier New"/>
    </w:rPr>
  </w:style>
  <w:style w:type="character" w:styleId="ListLabel204" w:customStyle="1">
    <w:name w:val="ListLabel 204"/>
    <w:qFormat/>
    <w:rPr>
      <w:rFonts w:cs="Wingdings"/>
    </w:rPr>
  </w:style>
  <w:style w:type="character" w:styleId="ListLabel205" w:customStyle="1">
    <w:name w:val="ListLabel 205"/>
    <w:qFormat/>
    <w:rPr>
      <w:rFonts w:cs="Symbol"/>
    </w:rPr>
  </w:style>
  <w:style w:type="character" w:styleId="ListLabel206" w:customStyle="1">
    <w:name w:val="ListLabel 206"/>
    <w:qFormat/>
    <w:rPr>
      <w:rFonts w:cs="Courier New"/>
    </w:rPr>
  </w:style>
  <w:style w:type="character" w:styleId="ListLabel207" w:customStyle="1">
    <w:name w:val="ListLabel 207"/>
    <w:qFormat/>
    <w:rPr>
      <w:rFonts w:cs="Wingdings"/>
    </w:rPr>
  </w:style>
  <w:style w:type="character" w:styleId="ListLabel208" w:customStyle="1">
    <w:name w:val="ListLabel 208"/>
    <w:qFormat/>
    <w:rPr>
      <w:sz w:val="18"/>
      <w:szCs w:val="16"/>
    </w:rPr>
  </w:style>
  <w:style w:type="character" w:styleId="ListLabel209" w:customStyle="1">
    <w:name w:val="ListLabel 209"/>
    <w:qFormat/>
    <w:rPr>
      <w:rFonts w:cs="Arial"/>
      <w:b/>
      <w:bCs/>
      <w:i w:val="false"/>
      <w:iCs w:val="false"/>
      <w:sz w:val="24"/>
      <w:szCs w:val="24"/>
    </w:rPr>
  </w:style>
  <w:style w:type="character" w:styleId="ListLabel210" w:customStyle="1">
    <w:name w:val="ListLabel 210"/>
    <w:qFormat/>
    <w:rPr>
      <w:b/>
      <w:bCs/>
      <w:i w:val="false"/>
      <w:iCs w:val="false"/>
    </w:rPr>
  </w:style>
  <w:style w:type="character" w:styleId="ListLabel211" w:customStyle="1">
    <w:name w:val="ListLabel 211"/>
    <w:qFormat/>
    <w:rPr>
      <w:b w:val="false"/>
      <w:bCs w:val="false"/>
      <w:i w:val="false"/>
      <w:iCs w:val="false"/>
      <w:sz w:val="16"/>
    </w:rPr>
  </w:style>
  <w:style w:type="character" w:styleId="ListLabel212" w:customStyle="1">
    <w:name w:val="ListLabel 212"/>
    <w:qFormat/>
    <w:rPr>
      <w:b w:val="false"/>
      <w:bCs w:val="false"/>
      <w:i w:val="false"/>
      <w:iCs w:val="false"/>
      <w:sz w:val="18"/>
    </w:rPr>
  </w:style>
  <w:style w:type="character" w:styleId="ListLabel213" w:customStyle="1">
    <w:name w:val="ListLabel 213"/>
    <w:qFormat/>
    <w:rPr>
      <w:rFonts w:cs="Symbol"/>
      <w:sz w:val="16"/>
    </w:rPr>
  </w:style>
  <w:style w:type="character" w:styleId="ListLabel214" w:customStyle="1">
    <w:name w:val="ListLabel 214"/>
    <w:qFormat/>
    <w:rPr>
      <w:rFonts w:cs="Courier New"/>
    </w:rPr>
  </w:style>
  <w:style w:type="character" w:styleId="ListLabel215" w:customStyle="1">
    <w:name w:val="ListLabel 215"/>
    <w:qFormat/>
    <w:rPr>
      <w:rFonts w:cs="Wingdings"/>
    </w:rPr>
  </w:style>
  <w:style w:type="character" w:styleId="ListLabel216" w:customStyle="1">
    <w:name w:val="ListLabel 216"/>
    <w:qFormat/>
    <w:rPr>
      <w:rFonts w:cs="Symbol"/>
    </w:rPr>
  </w:style>
  <w:style w:type="character" w:styleId="ListLabel217" w:customStyle="1">
    <w:name w:val="ListLabel 217"/>
    <w:qFormat/>
    <w:rPr>
      <w:rFonts w:cs="Courier New"/>
    </w:rPr>
  </w:style>
  <w:style w:type="character" w:styleId="ListLabel218" w:customStyle="1">
    <w:name w:val="ListLabel 218"/>
    <w:qFormat/>
    <w:rPr>
      <w:rFonts w:cs="Wingdings"/>
    </w:rPr>
  </w:style>
  <w:style w:type="character" w:styleId="ListLabel219" w:customStyle="1">
    <w:name w:val="ListLabel 219"/>
    <w:qFormat/>
    <w:rPr>
      <w:rFonts w:cs="Symbol"/>
    </w:rPr>
  </w:style>
  <w:style w:type="character" w:styleId="ListLabel220" w:customStyle="1">
    <w:name w:val="ListLabel 220"/>
    <w:qFormat/>
    <w:rPr>
      <w:rFonts w:cs="Courier New"/>
    </w:rPr>
  </w:style>
  <w:style w:type="character" w:styleId="ListLabel221" w:customStyle="1">
    <w:name w:val="ListLabel 221"/>
    <w:qFormat/>
    <w:rPr>
      <w:rFonts w:cs="Wingdings"/>
    </w:rPr>
  </w:style>
  <w:style w:type="character" w:styleId="ListLabel222" w:customStyle="1">
    <w:name w:val="ListLabel 222"/>
    <w:qFormat/>
    <w:rPr>
      <w:sz w:val="18"/>
      <w:szCs w:val="16"/>
    </w:rPr>
  </w:style>
  <w:style w:type="character" w:styleId="ListLabel223">
    <w:name w:val="ListLabel 223"/>
    <w:qFormat/>
    <w:rPr>
      <w:rFonts w:cs="Arial"/>
      <w:b/>
      <w:bCs/>
      <w:i w:val="false"/>
      <w:iCs w:val="false"/>
      <w:sz w:val="24"/>
      <w:szCs w:val="24"/>
    </w:rPr>
  </w:style>
  <w:style w:type="character" w:styleId="ListLabel224">
    <w:name w:val="ListLabel 224"/>
    <w:qFormat/>
    <w:rPr>
      <w:b/>
      <w:bCs/>
      <w:i w:val="false"/>
      <w:iCs w:val="false"/>
    </w:rPr>
  </w:style>
  <w:style w:type="character" w:styleId="ListLabel225">
    <w:name w:val="ListLabel 225"/>
    <w:qFormat/>
    <w:rPr>
      <w:b w:val="false"/>
      <w:bCs w:val="false"/>
      <w:i w:val="false"/>
      <w:iCs w:val="false"/>
      <w:sz w:val="16"/>
    </w:rPr>
  </w:style>
  <w:style w:type="character" w:styleId="ListLabel226">
    <w:name w:val="ListLabel 226"/>
    <w:qFormat/>
    <w:rPr>
      <w:b w:val="false"/>
      <w:bCs w:val="false"/>
      <w:i w:val="false"/>
      <w:iCs w:val="false"/>
      <w:sz w:val="18"/>
    </w:rPr>
  </w:style>
  <w:style w:type="character" w:styleId="ListLabel227">
    <w:name w:val="ListLabel 227"/>
    <w:qFormat/>
    <w:rPr>
      <w:rFonts w:cs="Symbol"/>
      <w:sz w:val="16"/>
    </w:rPr>
  </w:style>
  <w:style w:type="character" w:styleId="ListLabel228">
    <w:name w:val="ListLabel 228"/>
    <w:qFormat/>
    <w:rPr>
      <w:rFonts w:cs="Courier New"/>
    </w:rPr>
  </w:style>
  <w:style w:type="character" w:styleId="ListLabel229">
    <w:name w:val="ListLabel 229"/>
    <w:qFormat/>
    <w:rPr>
      <w:rFonts w:cs="Wingdings"/>
    </w:rPr>
  </w:style>
  <w:style w:type="character" w:styleId="ListLabel230">
    <w:name w:val="ListLabel 230"/>
    <w:qFormat/>
    <w:rPr>
      <w:rFonts w:cs="Symbol"/>
    </w:rPr>
  </w:style>
  <w:style w:type="character" w:styleId="ListLabel231">
    <w:name w:val="ListLabel 231"/>
    <w:qFormat/>
    <w:rPr>
      <w:rFonts w:cs="Courier New"/>
    </w:rPr>
  </w:style>
  <w:style w:type="character" w:styleId="ListLabel232">
    <w:name w:val="ListLabel 232"/>
    <w:qFormat/>
    <w:rPr>
      <w:rFonts w:cs="Wingdings"/>
    </w:rPr>
  </w:style>
  <w:style w:type="character" w:styleId="ListLabel233">
    <w:name w:val="ListLabel 233"/>
    <w:qFormat/>
    <w:rPr>
      <w:rFonts w:cs="Symbol"/>
    </w:rPr>
  </w:style>
  <w:style w:type="character" w:styleId="ListLabel234">
    <w:name w:val="ListLabel 234"/>
    <w:qFormat/>
    <w:rPr>
      <w:rFonts w:cs="Courier New"/>
    </w:rPr>
  </w:style>
  <w:style w:type="character" w:styleId="ListLabel235">
    <w:name w:val="ListLabel 235"/>
    <w:qFormat/>
    <w:rPr>
      <w:rFonts w:cs="Wingdings"/>
    </w:rPr>
  </w:style>
  <w:style w:type="character" w:styleId="ListLabel236">
    <w:name w:val="ListLabel 236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547</TotalTime>
  <Application>LibreOffice/5.3.3.2$Windows_X86_64 LibreOffice_project/3d9a8b4b4e538a85e0782bd6c2d430bafe583448</Application>
  <Pages>9</Pages>
  <Words>3485</Words>
  <Characters>21024</Characters>
  <CharactersWithSpaces>23958</CharactersWithSpaces>
  <Paragraphs>700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Milan Drenina</cp:lastModifiedBy>
  <cp:lastPrinted>2024-05-21T08:18:02Z</cp:lastPrinted>
  <dcterms:modified xsi:type="dcterms:W3CDTF">2024-05-20T11:51:00Z</dcterms:modified>
  <cp:revision>349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