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9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1"/>
      </w:tblGrid>
      <w:tr>
        <w:trPr/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Ulica 1. mája 15, 901 01 Malacky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Marta Prochyrová, štatutárna zástupkyňa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 Peter Štaffen, predseda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Mgr.Martina Ambrušová,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Anna Trnková,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Ing. Ariana Kemková,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Bc. Elena Límová,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Eva Krššáková,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Jozef Jančí, člen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JUDr. Mária Zajacová, predseda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Kristína Lončeková, členka dozornej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Martina Vaseková, členka dozornej rady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6"/>
        <w:gridCol w:w="6975"/>
      </w:tblGrid>
      <w:tr>
        <w:trPr>
          <w:trHeight w:val="284" w:hRule="atLeast"/>
        </w:trPr>
        <w:tc>
          <w:tcPr>
            <w:tcW w:w="28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služby: 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27"/>
        <w:gridCol w:w="2609"/>
        <w:gridCol w:w="2642"/>
      </w:tblGrid>
      <w:tr>
        <w:trPr>
          <w:trHeight w:val="205" w:hRule="atLeast"/>
        </w:trPr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>
        <w:trPr>
          <w:trHeight w:val="205" w:hRule="atLeast"/>
        </w:trPr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05" w:hRule="atLeast"/>
        </w:trPr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spacing w:lineRule="auto" w:line="240" w:before="120" w:after="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spacing w:lineRule="auto" w:line="240" w:before="12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8"/>
        <w:gridCol w:w="3484"/>
      </w:tblGrid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8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81"/>
        <w:gridCol w:w="2465"/>
        <w:gridCol w:w="2466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Budova – technické zhodnotenie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1/20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/>
      </w:pPr>
      <w:r>
        <w:rPr>
          <w:sz w:val="18"/>
          <w:szCs w:val="18"/>
        </w:rPr>
        <w:t xml:space="preserve">Zásady pre zohľadnenie zníženia hodnoty majetku – neuplatňuje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5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83"/>
        <w:gridCol w:w="709"/>
        <w:gridCol w:w="850"/>
        <w:gridCol w:w="858"/>
        <w:gridCol w:w="850"/>
        <w:gridCol w:w="992"/>
        <w:gridCol w:w="709"/>
        <w:gridCol w:w="858"/>
        <w:gridCol w:w="850"/>
        <w:gridCol w:w="709"/>
        <w:gridCol w:w="142"/>
        <w:gridCol w:w="575"/>
        <w:gridCol w:w="859"/>
      </w:tblGrid>
      <w:tr>
        <w:trPr>
          <w:trHeight w:val="1020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62 299,49 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eastAsia="sk-SK"/>
              </w:rPr>
              <w:t>2 332,02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113 297,19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2 777,00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25 565,68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112 974,19 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62 299,49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22 332,02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3 100,00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25 565,68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113 297,19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323,00</w:t>
            </w:r>
          </w:p>
        </w:tc>
      </w:tr>
      <w:tr>
        <w:trPr>
          <w:trHeight w:val="40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181,35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433,20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292,50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67,20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55 561,87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47 474,20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56 035,72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47 974,60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48"/>
        <w:gridCol w:w="2166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</w:t>
            </w:r>
          </w:p>
        </w:tc>
        <w:tc>
          <w:tcPr>
            <w:tcW w:w="4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 – podnikateľská činnosť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21 051,50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z chránenej dielne – podnikateľská činnosť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5 760,00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</w:t>
            </w:r>
          </w:p>
        </w:tc>
        <w:tc>
          <w:tcPr>
            <w:tcW w:w="4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Tržba za tovar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1 705,20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28 516,70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350"/>
        <w:gridCol w:w="1491"/>
        <w:gridCol w:w="1490"/>
        <w:gridCol w:w="1480"/>
        <w:gridCol w:w="1491"/>
        <w:gridCol w:w="1675"/>
      </w:tblGrid>
      <w:tr>
        <w:trPr>
          <w:trHeight w:val="608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 – daňový úrad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27"/>
        <w:gridCol w:w="3141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1 027,87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931,01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4 657,73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3 277,63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5 685,60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4 208,64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4889"/>
        <w:gridCol w:w="2165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Doména, poistenie motorového vozidla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55,64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Dotácia, práce za mesiac december</w:t>
            </w:r>
          </w:p>
        </w:tc>
        <w:tc>
          <w:tcPr>
            <w:tcW w:w="2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2 201,70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č.OVVS-1929/204/2006-NO peňažným vkladom vo výške 33,19 EUR a následne sa v priebehu činnosti účtovnej jednotky navyšovalo základné imanie vkladmi zakladateľa.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Organizácia neúčtovala o opravách významných chýb v priebehu účtovného obdobia 2023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6"/>
        <w:gridCol w:w="1143"/>
        <w:gridCol w:w="1139"/>
        <w:gridCol w:w="1138"/>
        <w:gridCol w:w="1139"/>
        <w:gridCol w:w="1222"/>
      </w:tblGrid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58 726,30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-35 944,21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11 963,95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-23 980,26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11 963,95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697,83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-11 963,95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697,83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34 746,04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697,83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35 443,87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6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2"/>
        <w:gridCol w:w="2250"/>
      </w:tblGrid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11 963,95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účtovného zisku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11 963,95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52"/>
        <w:gridCol w:w="1086"/>
        <w:gridCol w:w="1414"/>
        <w:gridCol w:w="1414"/>
        <w:gridCol w:w="1410"/>
        <w:gridCol w:w="1401"/>
      </w:tblGrid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2 005,76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4 517,46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2 005,76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4 517,46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1 200,00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vypracovanie daňového priznania a účtovníctvo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520,00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2 825,76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6 237,46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2 825,76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6 237,46</w:t>
            </w:r>
          </w:p>
        </w:tc>
      </w:tr>
      <w:tr>
        <w:trPr>
          <w:trHeight w:val="284" w:hRule="atLeast"/>
        </w:trPr>
        <w:tc>
          <w:tcPr>
            <w:tcW w:w="3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2 825,76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6 237,46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2 825,76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6 237,46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115,00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13 041,65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10 914,29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299,13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556,80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13 340,78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11 471,09</w:t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2"/>
        <w:gridCol w:w="2504"/>
        <w:gridCol w:w="2502"/>
      </w:tblGrid>
      <w:tr>
        <w:trPr>
          <w:trHeight w:val="284" w:hRule="atLeast"/>
        </w:trPr>
        <w:tc>
          <w:tcPr>
            <w:tcW w:w="4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299,13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556,80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13 041,65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10 914,29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13 340,78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11 471,09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322,98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180,70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322,98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180,70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13 663,76</w:t>
            </w:r>
          </w:p>
        </w:tc>
        <w:tc>
          <w:tcPr>
            <w:tcW w:w="2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11 651,79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8"/>
        <w:gridCol w:w="3147"/>
        <w:gridCol w:w="3113"/>
      </w:tblGrid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180,70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540,08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557,57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397,80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376,87</w:t>
            </w:r>
          </w:p>
        </w:tc>
      </w:tr>
      <w:tr>
        <w:trPr>
          <w:trHeight w:val="284" w:hRule="atLeast"/>
        </w:trPr>
        <w:tc>
          <w:tcPr>
            <w:tcW w:w="3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322,98</w:t>
            </w:r>
          </w:p>
        </w:tc>
        <w:tc>
          <w:tcPr>
            <w:tcW w:w="3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180,70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6 192,98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8 633,57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6 192,98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8 633,57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2"/>
        <w:gridCol w:w="2969"/>
        <w:gridCol w:w="2987"/>
      </w:tblGrid>
      <w:tr>
        <w:trPr>
          <w:trHeight w:val="284" w:hRule="atLeast"/>
        </w:trPr>
        <w:tc>
          <w:tcPr>
            <w:tcW w:w="4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65 134,54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36 617,84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28 516,70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6 010,00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2 130,00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15 507,56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70 381,59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27 148,20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materiálu pre chránenú dielňu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4 122,47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489,20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439,57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1 099,29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6 150,53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plynu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4 434,00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elektriny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997,85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Stočné, vodné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79,87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5 511,72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Ekonomické služby – 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6 298,00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Nájomné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2 742,00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926,79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843,97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224,00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Odvoz odpadu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172,80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797,84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12 005,40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311,40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Ostatné poplatky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171,08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-41,91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440,57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95"/>
        <w:gridCol w:w="2733"/>
        <w:gridCol w:w="2250"/>
      </w:tblGrid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pre chránenú dielňu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3 494,65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 pre chránenú dielňu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2 698,33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8 633,57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4"/>
        <w:gridCol w:w="3173"/>
      </w:tblGrid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1 000,00</w:t>
            </w:r>
          </w:p>
        </w:tc>
      </w:tr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1 000,00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neobsahuje zákonnú DPH vo výške 200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Nezisková organizácia má v prenájme nehnuteľnosť Jakubove 79,  900 63 Jakubov. Tieto priestory využíva na prevádzku chránenej dielne, rehabilitačné aktivity a iné činnosti spojené s verejnoprospešnou činnosťou. Ročné náklady na prenájom sú 1 992 EUR. Zmluva s prenajímateľom je uzatvorená na dobu neurčitú. Okrem toho má organizácia v prenájme nehnuteľnosť od Rímskokatolíckej cirkvi, mesačné náklady predstavujú 150 EUR a zmluva je platná do 07/2028.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významné skutočnosti, ktoré by mali významný vplyv na údaje vykázané v účtovnej závierke.</w:t>
      </w:r>
    </w:p>
    <w:p>
      <w:pPr>
        <w:pStyle w:val="Normal"/>
        <w:spacing w:lineRule="auto" w:line="240" w:before="0" w:after="12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rFonts w:cs="Arial"/>
      <w:b/>
      <w:bCs/>
      <w:i w:val="false"/>
      <w:iCs w:val="false"/>
      <w:sz w:val="24"/>
      <w:szCs w:val="24"/>
    </w:rPr>
  </w:style>
  <w:style w:type="character" w:styleId="ListLabel112" w:customStyle="1">
    <w:name w:val="ListLabel 112"/>
    <w:qFormat/>
    <w:rPr>
      <w:b/>
      <w:bCs/>
      <w:i w:val="false"/>
      <w:iCs w:val="false"/>
    </w:rPr>
  </w:style>
  <w:style w:type="character" w:styleId="ListLabel113" w:customStyle="1">
    <w:name w:val="ListLabel 113"/>
    <w:qFormat/>
    <w:rPr>
      <w:b w:val="false"/>
      <w:bCs w:val="false"/>
      <w:i w:val="false"/>
      <w:iCs w:val="false"/>
      <w:sz w:val="16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8"/>
    </w:rPr>
  </w:style>
  <w:style w:type="character" w:styleId="ListLabel115" w:customStyle="1">
    <w:name w:val="ListLabel 115"/>
    <w:qFormat/>
    <w:rPr>
      <w:rFonts w:cs="Symbol"/>
      <w:sz w:val="16"/>
    </w:rPr>
  </w:style>
  <w:style w:type="character" w:styleId="ListLabel116" w:customStyle="1">
    <w:name w:val="ListLabel 116"/>
    <w:qFormat/>
    <w:rPr>
      <w:rFonts w:cs="Courier New"/>
    </w:rPr>
  </w:style>
  <w:style w:type="character" w:styleId="ListLabel117" w:customStyle="1">
    <w:name w:val="ListLabel 117"/>
    <w:qFormat/>
    <w:rPr>
      <w:rFonts w:cs="Wingdings"/>
    </w:rPr>
  </w:style>
  <w:style w:type="character" w:styleId="ListLabel118" w:customStyle="1">
    <w:name w:val="ListLabel 118"/>
    <w:qFormat/>
    <w:rPr>
      <w:rFonts w:cs="Symbol"/>
    </w:rPr>
  </w:style>
  <w:style w:type="character" w:styleId="ListLabel119" w:customStyle="1">
    <w:name w:val="ListLabel 119"/>
    <w:qFormat/>
    <w:rPr>
      <w:rFonts w:cs="Courier New"/>
    </w:rPr>
  </w:style>
  <w:style w:type="character" w:styleId="ListLabel120" w:customStyle="1">
    <w:name w:val="ListLabel 120"/>
    <w:qFormat/>
    <w:rPr>
      <w:rFonts w:cs="Wingdings"/>
    </w:rPr>
  </w:style>
  <w:style w:type="character" w:styleId="ListLabel121" w:customStyle="1">
    <w:name w:val="ListLabel 121"/>
    <w:qFormat/>
    <w:rPr>
      <w:rFonts w:cs="Symbol"/>
    </w:rPr>
  </w:style>
  <w:style w:type="character" w:styleId="ListLabel122" w:customStyle="1">
    <w:name w:val="ListLabel 122"/>
    <w:qFormat/>
    <w:rPr>
      <w:rFonts w:cs="Courier New"/>
    </w:rPr>
  </w:style>
  <w:style w:type="character" w:styleId="ListLabel123" w:customStyle="1">
    <w:name w:val="ListLabel 123"/>
    <w:qFormat/>
    <w:rPr>
      <w:rFonts w:cs="Wingdings"/>
    </w:rPr>
  </w:style>
  <w:style w:type="character" w:styleId="ListLabel124" w:customStyle="1">
    <w:name w:val="ListLabel 124"/>
    <w:qFormat/>
    <w:rPr>
      <w:sz w:val="18"/>
      <w:szCs w:val="16"/>
    </w:rPr>
  </w:style>
  <w:style w:type="character" w:styleId="ListLabel125" w:customStyle="1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 w:customStyle="1">
    <w:name w:val="ListLabel 126"/>
    <w:qFormat/>
    <w:rPr>
      <w:b/>
      <w:bCs/>
      <w:i w:val="false"/>
      <w:iCs w:val="false"/>
    </w:rPr>
  </w:style>
  <w:style w:type="character" w:styleId="ListLabel127" w:customStyle="1">
    <w:name w:val="ListLabel 127"/>
    <w:qFormat/>
    <w:rPr>
      <w:b w:val="false"/>
      <w:bCs w:val="false"/>
      <w:i w:val="false"/>
      <w:iCs w:val="false"/>
      <w:sz w:val="16"/>
    </w:rPr>
  </w:style>
  <w:style w:type="character" w:styleId="ListLabel128" w:customStyle="1">
    <w:name w:val="ListLabel 128"/>
    <w:qFormat/>
    <w:rPr>
      <w:b w:val="false"/>
      <w:bCs w:val="false"/>
      <w:i w:val="false"/>
      <w:iCs w:val="false"/>
      <w:sz w:val="18"/>
    </w:rPr>
  </w:style>
  <w:style w:type="character" w:styleId="ListLabel129" w:customStyle="1">
    <w:name w:val="ListLabel 129"/>
    <w:qFormat/>
    <w:rPr>
      <w:rFonts w:cs="Symbol"/>
      <w:sz w:val="16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Symbol"/>
    </w:rPr>
  </w:style>
  <w:style w:type="character" w:styleId="ListLabel133" w:customStyle="1">
    <w:name w:val="ListLabel 133"/>
    <w:qFormat/>
    <w:rPr>
      <w:rFonts w:cs="Courier New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sz w:val="18"/>
      <w:szCs w:val="16"/>
    </w:rPr>
  </w:style>
  <w:style w:type="character" w:styleId="ListLabel139" w:customStyle="1">
    <w:name w:val="ListLabel 139"/>
    <w:qFormat/>
    <w:rPr>
      <w:rFonts w:cs="Arial"/>
      <w:b/>
      <w:bCs/>
      <w:i w:val="false"/>
      <w:iCs w:val="false"/>
      <w:sz w:val="24"/>
      <w:szCs w:val="24"/>
    </w:rPr>
  </w:style>
  <w:style w:type="character" w:styleId="ListLabel140" w:customStyle="1">
    <w:name w:val="ListLabel 140"/>
    <w:qFormat/>
    <w:rPr>
      <w:b/>
      <w:bCs/>
      <w:i w:val="false"/>
      <w:iCs w:val="false"/>
    </w:rPr>
  </w:style>
  <w:style w:type="character" w:styleId="ListLabel141" w:customStyle="1">
    <w:name w:val="ListLabel 141"/>
    <w:qFormat/>
    <w:rPr>
      <w:b w:val="false"/>
      <w:bCs w:val="false"/>
      <w:i w:val="false"/>
      <w:iCs w:val="false"/>
      <w:sz w:val="16"/>
    </w:rPr>
  </w:style>
  <w:style w:type="character" w:styleId="ListLabel142" w:customStyle="1">
    <w:name w:val="ListLabel 142"/>
    <w:qFormat/>
    <w:rPr>
      <w:b w:val="false"/>
      <w:bCs w:val="false"/>
      <w:i w:val="false"/>
      <w:iCs w:val="false"/>
      <w:sz w:val="18"/>
    </w:rPr>
  </w:style>
  <w:style w:type="character" w:styleId="ListLabel143" w:customStyle="1">
    <w:name w:val="ListLabel 143"/>
    <w:qFormat/>
    <w:rPr>
      <w:rFonts w:cs="Symbol"/>
      <w:sz w:val="16"/>
    </w:rPr>
  </w:style>
  <w:style w:type="character" w:styleId="ListLabel144" w:customStyle="1">
    <w:name w:val="ListLabel 144"/>
    <w:qFormat/>
    <w:rPr>
      <w:rFonts w:cs="Courier New"/>
    </w:rPr>
  </w:style>
  <w:style w:type="character" w:styleId="ListLabel145" w:customStyle="1">
    <w:name w:val="ListLabel 145"/>
    <w:qFormat/>
    <w:rPr>
      <w:rFonts w:cs="Wingdings"/>
    </w:rPr>
  </w:style>
  <w:style w:type="character" w:styleId="ListLabel146" w:customStyle="1">
    <w:name w:val="ListLabel 146"/>
    <w:qFormat/>
    <w:rPr>
      <w:rFonts w:cs="Symbol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Symbol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Wingdings"/>
    </w:rPr>
  </w:style>
  <w:style w:type="character" w:styleId="ListLabel152" w:customStyle="1">
    <w:name w:val="ListLabel 152"/>
    <w:qFormat/>
    <w:rPr>
      <w:sz w:val="18"/>
      <w:szCs w:val="16"/>
    </w:rPr>
  </w:style>
  <w:style w:type="character" w:styleId="ListLabel153" w:customStyle="1">
    <w:name w:val="ListLabel 153"/>
    <w:qFormat/>
    <w:rPr>
      <w:rFonts w:cs="Arial"/>
      <w:b/>
      <w:bCs/>
      <w:i w:val="false"/>
      <w:iCs w:val="false"/>
      <w:sz w:val="24"/>
      <w:szCs w:val="24"/>
    </w:rPr>
  </w:style>
  <w:style w:type="character" w:styleId="ListLabel154" w:customStyle="1">
    <w:name w:val="ListLabel 154"/>
    <w:qFormat/>
    <w:rPr>
      <w:b/>
      <w:bCs/>
      <w:i w:val="false"/>
      <w:iCs w:val="false"/>
    </w:rPr>
  </w:style>
  <w:style w:type="character" w:styleId="ListLabel155" w:customStyle="1">
    <w:name w:val="ListLabel 155"/>
    <w:qFormat/>
    <w:rPr>
      <w:b w:val="false"/>
      <w:bCs w:val="false"/>
      <w:i w:val="false"/>
      <w:iCs w:val="false"/>
      <w:sz w:val="16"/>
    </w:rPr>
  </w:style>
  <w:style w:type="character" w:styleId="ListLabel156" w:customStyle="1">
    <w:name w:val="ListLabel 156"/>
    <w:qFormat/>
    <w:rPr>
      <w:b w:val="false"/>
      <w:bCs w:val="false"/>
      <w:i w:val="false"/>
      <w:iCs w:val="false"/>
      <w:sz w:val="18"/>
    </w:rPr>
  </w:style>
  <w:style w:type="character" w:styleId="ListLabel157" w:customStyle="1">
    <w:name w:val="ListLabel 157"/>
    <w:qFormat/>
    <w:rPr>
      <w:rFonts w:cs="Symbol"/>
      <w:sz w:val="16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sz w:val="18"/>
      <w:szCs w:val="16"/>
    </w:rPr>
  </w:style>
  <w:style w:type="character" w:styleId="ListLabel167" w:customStyle="1">
    <w:name w:val="ListLabel 167"/>
    <w:qFormat/>
    <w:rPr>
      <w:rFonts w:cs="Arial"/>
      <w:b/>
      <w:bCs/>
      <w:i w:val="false"/>
      <w:iCs w:val="false"/>
      <w:sz w:val="24"/>
      <w:szCs w:val="24"/>
    </w:rPr>
  </w:style>
  <w:style w:type="character" w:styleId="ListLabel168" w:customStyle="1">
    <w:name w:val="ListLabel 168"/>
    <w:qFormat/>
    <w:rPr>
      <w:b/>
      <w:bCs/>
      <w:i w:val="false"/>
      <w:iCs w:val="false"/>
    </w:rPr>
  </w:style>
  <w:style w:type="character" w:styleId="ListLabel169" w:customStyle="1">
    <w:name w:val="ListLabel 169"/>
    <w:qFormat/>
    <w:rPr>
      <w:b w:val="false"/>
      <w:bCs w:val="false"/>
      <w:i w:val="false"/>
      <w:iCs w:val="false"/>
      <w:sz w:val="16"/>
    </w:rPr>
  </w:style>
  <w:style w:type="character" w:styleId="ListLabel170" w:customStyle="1">
    <w:name w:val="ListLabel 170"/>
    <w:qFormat/>
    <w:rPr>
      <w:b w:val="false"/>
      <w:bCs w:val="false"/>
      <w:i w:val="false"/>
      <w:iCs w:val="false"/>
      <w:sz w:val="18"/>
    </w:rPr>
  </w:style>
  <w:style w:type="character" w:styleId="ListLabel171" w:customStyle="1">
    <w:name w:val="ListLabel 171"/>
    <w:qFormat/>
    <w:rPr>
      <w:rFonts w:cs="Symbol"/>
      <w:sz w:val="16"/>
    </w:rPr>
  </w:style>
  <w:style w:type="character" w:styleId="ListLabel172" w:customStyle="1">
    <w:name w:val="ListLabel 172"/>
    <w:qFormat/>
    <w:rPr>
      <w:rFonts w:cs="Courier New"/>
    </w:rPr>
  </w:style>
  <w:style w:type="character" w:styleId="ListLabel173" w:customStyle="1">
    <w:name w:val="ListLabel 173"/>
    <w:qFormat/>
    <w:rPr>
      <w:rFonts w:cs="Wingdings"/>
    </w:rPr>
  </w:style>
  <w:style w:type="character" w:styleId="ListLabel174" w:customStyle="1">
    <w:name w:val="ListLabel 174"/>
    <w:qFormat/>
    <w:rPr>
      <w:rFonts w:cs="Symbol"/>
    </w:rPr>
  </w:style>
  <w:style w:type="character" w:styleId="ListLabel175" w:customStyle="1">
    <w:name w:val="ListLabel 175"/>
    <w:qFormat/>
    <w:rPr>
      <w:rFonts w:cs="Courier New"/>
    </w:rPr>
  </w:style>
  <w:style w:type="character" w:styleId="ListLabel176" w:customStyle="1">
    <w:name w:val="ListLabel 176"/>
    <w:qFormat/>
    <w:rPr>
      <w:rFonts w:cs="Wingdings"/>
    </w:rPr>
  </w:style>
  <w:style w:type="character" w:styleId="ListLabel177" w:customStyle="1">
    <w:name w:val="ListLabel 177"/>
    <w:qFormat/>
    <w:rPr>
      <w:rFonts w:cs="Symbol"/>
    </w:rPr>
  </w:style>
  <w:style w:type="character" w:styleId="ListLabel178" w:customStyle="1">
    <w:name w:val="ListLabel 178"/>
    <w:qFormat/>
    <w:rPr>
      <w:rFonts w:cs="Courier New"/>
    </w:rPr>
  </w:style>
  <w:style w:type="character" w:styleId="ListLabel179" w:customStyle="1">
    <w:name w:val="ListLabel 179"/>
    <w:qFormat/>
    <w:rPr>
      <w:rFonts w:cs="Wingdings"/>
    </w:rPr>
  </w:style>
  <w:style w:type="character" w:styleId="ListLabel180" w:customStyle="1">
    <w:name w:val="ListLabel 180"/>
    <w:qFormat/>
    <w:rPr>
      <w:sz w:val="18"/>
      <w:szCs w:val="16"/>
    </w:rPr>
  </w:style>
  <w:style w:type="character" w:styleId="ListLabel181" w:customStyle="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 w:customStyle="1">
    <w:name w:val="ListLabel 182"/>
    <w:qFormat/>
    <w:rPr>
      <w:b/>
      <w:bCs/>
      <w:i w:val="false"/>
      <w:iCs w:val="false"/>
    </w:rPr>
  </w:style>
  <w:style w:type="character" w:styleId="ListLabel183" w:customStyle="1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 w:customStyle="1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 w:customStyle="1">
    <w:name w:val="ListLabel 185"/>
    <w:qFormat/>
    <w:rPr>
      <w:rFonts w:cs="Symbol"/>
      <w:sz w:val="16"/>
    </w:rPr>
  </w:style>
  <w:style w:type="character" w:styleId="ListLabel186" w:customStyle="1">
    <w:name w:val="ListLabel 186"/>
    <w:qFormat/>
    <w:rPr>
      <w:rFonts w:cs="Courier New"/>
    </w:rPr>
  </w:style>
  <w:style w:type="character" w:styleId="ListLabel187" w:customStyle="1">
    <w:name w:val="ListLabel 187"/>
    <w:qFormat/>
    <w:rPr>
      <w:rFonts w:cs="Wingdings"/>
    </w:rPr>
  </w:style>
  <w:style w:type="character" w:styleId="ListLabel188" w:customStyle="1">
    <w:name w:val="ListLabel 188"/>
    <w:qFormat/>
    <w:rPr>
      <w:rFonts w:cs="Symbol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sz w:val="18"/>
      <w:szCs w:val="16"/>
    </w:rPr>
  </w:style>
  <w:style w:type="character" w:styleId="ListLabel195" w:customStyle="1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 w:customStyle="1">
    <w:name w:val="ListLabel 196"/>
    <w:qFormat/>
    <w:rPr>
      <w:b/>
      <w:bCs/>
      <w:i w:val="false"/>
      <w:iCs w:val="false"/>
    </w:rPr>
  </w:style>
  <w:style w:type="character" w:styleId="ListLabel197" w:customStyle="1">
    <w:name w:val="ListLabel 197"/>
    <w:qFormat/>
    <w:rPr>
      <w:b w:val="false"/>
      <w:bCs w:val="false"/>
      <w:i w:val="false"/>
      <w:iCs w:val="false"/>
      <w:sz w:val="16"/>
    </w:rPr>
  </w:style>
  <w:style w:type="character" w:styleId="ListLabel198" w:customStyle="1">
    <w:name w:val="ListLabel 198"/>
    <w:qFormat/>
    <w:rPr>
      <w:b w:val="false"/>
      <w:bCs w:val="false"/>
      <w:i w:val="false"/>
      <w:iCs w:val="false"/>
      <w:sz w:val="18"/>
    </w:rPr>
  </w:style>
  <w:style w:type="character" w:styleId="ListLabel199" w:customStyle="1">
    <w:name w:val="ListLabel 199"/>
    <w:qFormat/>
    <w:rPr>
      <w:rFonts w:cs="Symbol"/>
      <w:sz w:val="16"/>
    </w:rPr>
  </w:style>
  <w:style w:type="character" w:styleId="ListLabel200" w:customStyle="1">
    <w:name w:val="ListLabel 200"/>
    <w:qFormat/>
    <w:rPr>
      <w:rFonts w:cs="Courier New"/>
    </w:rPr>
  </w:style>
  <w:style w:type="character" w:styleId="ListLabel201" w:customStyle="1">
    <w:name w:val="ListLabel 201"/>
    <w:qFormat/>
    <w:rPr>
      <w:rFonts w:cs="Wingdings"/>
    </w:rPr>
  </w:style>
  <w:style w:type="character" w:styleId="ListLabel202" w:customStyle="1">
    <w:name w:val="ListLabel 202"/>
    <w:qFormat/>
    <w:rPr>
      <w:rFonts w:cs="Symbol"/>
    </w:rPr>
  </w:style>
  <w:style w:type="character" w:styleId="ListLabel203" w:customStyle="1">
    <w:name w:val="ListLabel 203"/>
    <w:qFormat/>
    <w:rPr>
      <w:rFonts w:cs="Courier New"/>
    </w:rPr>
  </w:style>
  <w:style w:type="character" w:styleId="ListLabel204" w:customStyle="1">
    <w:name w:val="ListLabel 204"/>
    <w:qFormat/>
    <w:rPr>
      <w:rFonts w:cs="Wingdings"/>
    </w:rPr>
  </w:style>
  <w:style w:type="character" w:styleId="ListLabel205" w:customStyle="1">
    <w:name w:val="ListLabel 205"/>
    <w:qFormat/>
    <w:rPr>
      <w:rFonts w:cs="Symbol"/>
    </w:rPr>
  </w:style>
  <w:style w:type="character" w:styleId="ListLabel206" w:customStyle="1">
    <w:name w:val="ListLabel 206"/>
    <w:qFormat/>
    <w:rPr>
      <w:rFonts w:cs="Courier New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sz w:val="18"/>
      <w:szCs w:val="16"/>
    </w:rPr>
  </w:style>
  <w:style w:type="character" w:styleId="ListLabel209" w:customStyle="1">
    <w:name w:val="ListLabel 209"/>
    <w:qFormat/>
    <w:rPr>
      <w:rFonts w:cs="Arial"/>
      <w:b/>
      <w:bCs/>
      <w:i w:val="false"/>
      <w:iCs w:val="false"/>
      <w:sz w:val="24"/>
      <w:szCs w:val="24"/>
    </w:rPr>
  </w:style>
  <w:style w:type="character" w:styleId="ListLabel210" w:customStyle="1">
    <w:name w:val="ListLabel 210"/>
    <w:qFormat/>
    <w:rPr>
      <w:b/>
      <w:bCs/>
      <w:i w:val="false"/>
      <w:iCs w:val="false"/>
    </w:rPr>
  </w:style>
  <w:style w:type="character" w:styleId="ListLabel211" w:customStyle="1">
    <w:name w:val="ListLabel 211"/>
    <w:qFormat/>
    <w:rPr>
      <w:b w:val="false"/>
      <w:bCs w:val="false"/>
      <w:i w:val="false"/>
      <w:iCs w:val="false"/>
      <w:sz w:val="16"/>
    </w:rPr>
  </w:style>
  <w:style w:type="character" w:styleId="ListLabel212" w:customStyle="1">
    <w:name w:val="ListLabel 212"/>
    <w:qFormat/>
    <w:rPr>
      <w:b w:val="false"/>
      <w:bCs w:val="false"/>
      <w:i w:val="false"/>
      <w:iCs w:val="false"/>
      <w:sz w:val="18"/>
    </w:rPr>
  </w:style>
  <w:style w:type="character" w:styleId="ListLabel213" w:customStyle="1">
    <w:name w:val="ListLabel 213"/>
    <w:qFormat/>
    <w:rPr>
      <w:rFonts w:cs="Symbol"/>
      <w:sz w:val="16"/>
    </w:rPr>
  </w:style>
  <w:style w:type="character" w:styleId="ListLabel214" w:customStyle="1">
    <w:name w:val="ListLabel 214"/>
    <w:qFormat/>
    <w:rPr>
      <w:rFonts w:cs="Courier New"/>
    </w:rPr>
  </w:style>
  <w:style w:type="character" w:styleId="ListLabel215" w:customStyle="1">
    <w:name w:val="ListLabel 215"/>
    <w:qFormat/>
    <w:rPr>
      <w:rFonts w:cs="Wingdings"/>
    </w:rPr>
  </w:style>
  <w:style w:type="character" w:styleId="ListLabel216" w:customStyle="1">
    <w:name w:val="ListLabel 216"/>
    <w:qFormat/>
    <w:rPr>
      <w:rFonts w:cs="Symbol"/>
    </w:rPr>
  </w:style>
  <w:style w:type="character" w:styleId="ListLabel217" w:customStyle="1">
    <w:name w:val="ListLabel 217"/>
    <w:qFormat/>
    <w:rPr>
      <w:rFonts w:cs="Courier New"/>
    </w:rPr>
  </w:style>
  <w:style w:type="character" w:styleId="ListLabel218" w:customStyle="1">
    <w:name w:val="ListLabel 218"/>
    <w:qFormat/>
    <w:rPr>
      <w:rFonts w:cs="Wingdings"/>
    </w:rPr>
  </w:style>
  <w:style w:type="character" w:styleId="ListLabel219" w:customStyle="1">
    <w:name w:val="ListLabel 219"/>
    <w:qFormat/>
    <w:rPr>
      <w:rFonts w:cs="Symbol"/>
    </w:rPr>
  </w:style>
  <w:style w:type="character" w:styleId="ListLabel220" w:customStyle="1">
    <w:name w:val="ListLabel 220"/>
    <w:qFormat/>
    <w:rPr>
      <w:rFonts w:cs="Courier New"/>
    </w:rPr>
  </w:style>
  <w:style w:type="character" w:styleId="ListLabel221" w:customStyle="1">
    <w:name w:val="ListLabel 221"/>
    <w:qFormat/>
    <w:rPr>
      <w:rFonts w:cs="Wingdings"/>
    </w:rPr>
  </w:style>
  <w:style w:type="character" w:styleId="ListLabel222" w:customStyle="1">
    <w:name w:val="ListLabel 222"/>
    <w:qFormat/>
    <w:rPr>
      <w:sz w:val="18"/>
      <w:szCs w:val="16"/>
    </w:rPr>
  </w:style>
  <w:style w:type="character" w:styleId="ListLabel223">
    <w:name w:val="ListLabel 223"/>
    <w:qFormat/>
    <w:rPr>
      <w:rFonts w:cs="Arial"/>
      <w:b/>
      <w:bCs/>
      <w:i w:val="false"/>
      <w:iCs w:val="false"/>
      <w:sz w:val="24"/>
      <w:szCs w:val="24"/>
    </w:rPr>
  </w:style>
  <w:style w:type="character" w:styleId="ListLabel224">
    <w:name w:val="ListLabel 224"/>
    <w:qFormat/>
    <w:rPr>
      <w:b/>
      <w:bCs/>
      <w:i w:val="false"/>
      <w:iCs w:val="false"/>
    </w:rPr>
  </w:style>
  <w:style w:type="character" w:styleId="ListLabel225">
    <w:name w:val="ListLabel 225"/>
    <w:qFormat/>
    <w:rPr>
      <w:b w:val="false"/>
      <w:bCs w:val="false"/>
      <w:i w:val="false"/>
      <w:iCs w:val="false"/>
      <w:sz w:val="16"/>
    </w:rPr>
  </w:style>
  <w:style w:type="character" w:styleId="ListLabel226">
    <w:name w:val="ListLabel 226"/>
    <w:qFormat/>
    <w:rPr>
      <w:b w:val="false"/>
      <w:bCs w:val="false"/>
      <w:i w:val="false"/>
      <w:iCs w:val="false"/>
      <w:sz w:val="18"/>
    </w:rPr>
  </w:style>
  <w:style w:type="character" w:styleId="ListLabel227">
    <w:name w:val="ListLabel 227"/>
    <w:qFormat/>
    <w:rPr>
      <w:rFonts w:cs="Symbol"/>
      <w:sz w:val="16"/>
    </w:rPr>
  </w:style>
  <w:style w:type="character" w:styleId="ListLabel228">
    <w:name w:val="ListLabel 228"/>
    <w:qFormat/>
    <w:rPr>
      <w:rFonts w:cs="Courier New"/>
    </w:rPr>
  </w:style>
  <w:style w:type="character" w:styleId="ListLabel229">
    <w:name w:val="ListLabel 229"/>
    <w:qFormat/>
    <w:rPr>
      <w:rFonts w:cs="Wingdings"/>
    </w:rPr>
  </w:style>
  <w:style w:type="character" w:styleId="ListLabel230">
    <w:name w:val="ListLabel 230"/>
    <w:qFormat/>
    <w:rPr>
      <w:rFonts w:cs="Symbol"/>
    </w:rPr>
  </w:style>
  <w:style w:type="character" w:styleId="ListLabel231">
    <w:name w:val="ListLabel 231"/>
    <w:qFormat/>
    <w:rPr>
      <w:rFonts w:cs="Courier New"/>
    </w:rPr>
  </w:style>
  <w:style w:type="character" w:styleId="ListLabel232">
    <w:name w:val="ListLabel 232"/>
    <w:qFormat/>
    <w:rPr>
      <w:rFonts w:cs="Wingdings"/>
    </w:rPr>
  </w:style>
  <w:style w:type="character" w:styleId="ListLabel233">
    <w:name w:val="ListLabel 233"/>
    <w:qFormat/>
    <w:rPr>
      <w:rFonts w:cs="Symbol"/>
    </w:rPr>
  </w:style>
  <w:style w:type="character" w:styleId="ListLabel234">
    <w:name w:val="ListLabel 234"/>
    <w:qFormat/>
    <w:rPr>
      <w:rFonts w:cs="Courier New"/>
    </w:rPr>
  </w:style>
  <w:style w:type="character" w:styleId="ListLabel235">
    <w:name w:val="ListLabel 235"/>
    <w:qFormat/>
    <w:rPr>
      <w:rFonts w:cs="Wingdings"/>
    </w:rPr>
  </w:style>
  <w:style w:type="character" w:styleId="ListLabel236">
    <w:name w:val="ListLabel 236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Application>LibreOffice/5.3.3.2$Windows_X86_64 LibreOffice_project/3d9a8b4b4e538a85e0782bd6c2d430bafe583448</Application>
  <Pages>9</Pages>
  <Words>3485</Words>
  <Characters>21024</Characters>
  <CharactersWithSpaces>23958</CharactersWithSpaces>
  <Paragraphs>700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Milan Drenina</cp:lastModifiedBy>
  <cp:lastPrinted>2024-05-21T08:18:02Z</cp:lastPrinted>
  <dcterms:modified xsi:type="dcterms:W3CDTF">2024-05-20T11:51:00Z</dcterms:modified>
  <cp:revision>349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