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94" w:type="dxa"/>
        <w:jc w:val="left"/>
        <w:tblInd w:w="-1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80"/>
        <w:gridCol w:w="2595"/>
        <w:gridCol w:w="336"/>
        <w:gridCol w:w="340"/>
        <w:gridCol w:w="337"/>
        <w:gridCol w:w="336"/>
        <w:gridCol w:w="341"/>
        <w:gridCol w:w="336"/>
        <w:gridCol w:w="341"/>
        <w:gridCol w:w="336"/>
        <w:gridCol w:w="567"/>
        <w:gridCol w:w="336"/>
        <w:gridCol w:w="337"/>
        <w:gridCol w:w="336"/>
        <w:gridCol w:w="340"/>
      </w:tblGrid>
      <w:tr>
        <w:trPr/>
        <w:tc>
          <w:tcPr>
            <w:tcW w:w="2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Poznámky (Úč  NUJ 3 – 01)</w:t>
            </w:r>
          </w:p>
        </w:tc>
        <w:tc>
          <w:tcPr>
            <w:tcW w:w="25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781" w:type="dxa"/>
        <w:jc w:val="left"/>
        <w:tblInd w:w="9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77"/>
        <w:gridCol w:w="6803"/>
      </w:tblGrid>
      <w:tr>
        <w:trPr>
          <w:trHeight w:val="284" w:hRule="atLeast"/>
        </w:trPr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9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Záujmové združenie občanov</w:t>
            </w:r>
          </w:p>
        </w:tc>
      </w:tr>
      <w:tr>
        <w:trPr>
          <w:trHeight w:val="284" w:hRule="atLeast"/>
        </w:trPr>
        <w:tc>
          <w:tcPr>
            <w:tcW w:w="29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  <w:tr>
        <w:trPr>
          <w:trHeight w:val="178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5.12.2019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  <w:t xml:space="preserve">Údaje uvedené v Poznámkach sú v mene EUR, ak nie je uvedené inak. </w:t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p>
      <w:pPr>
        <w:pStyle w:val="Textopatrenia"/>
        <w:spacing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981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44"/>
        <w:gridCol w:w="6967"/>
      </w:tblGrid>
      <w:tr>
        <w:trPr>
          <w:trHeight w:val="284" w:hRule="atLeast"/>
        </w:trPr>
        <w:tc>
          <w:tcPr>
            <w:tcW w:w="2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Predsedníctvo združenia: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Beáta Reifová, predseda združenia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art. Denis Farkaš, prvý podpredseda združenia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Daniel Reif, druhý podpredseda združenia</w:t>
            </w:r>
          </w:p>
        </w:tc>
      </w:tr>
      <w:tr>
        <w:trPr>
          <w:trHeight w:val="284" w:hRule="atLeast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(Revízor)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color w:val="00000A"/>
                <w:sz w:val="16"/>
                <w:szCs w:val="16"/>
              </w:rPr>
              <w:t>Eva Šatanová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1"/>
        <w:gridCol w:w="6970"/>
      </w:tblGrid>
      <w:tr>
        <w:trPr>
          <w:trHeight w:val="284" w:hRule="atLeast"/>
        </w:trPr>
        <w:tc>
          <w:tcPr>
            <w:tcW w:w="28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Rozvoj a ochrana duchovných a kultúrnych hodnôt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Vykonávanie aktivít na poli kultúry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Výchovná a vzdelávacia činnosť pre mladých a talentovaných ľudí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Vzdelávacie aktivity realizované prostredníctvom workshopov</w:t>
            </w:r>
          </w:p>
        </w:tc>
      </w:tr>
      <w:tr>
        <w:trPr>
          <w:trHeight w:val="284" w:hRule="atLeast"/>
        </w:trPr>
        <w:tc>
          <w:tcPr>
            <w:tcW w:w="28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Spolupráca s inými občianskymi združeniami</w:t>
            </w:r>
          </w:p>
        </w:tc>
      </w:tr>
      <w:tr>
        <w:trPr>
          <w:trHeight w:val="284" w:hRule="atLeast"/>
        </w:trPr>
        <w:tc>
          <w:tcPr>
            <w:tcW w:w="2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nevykonáva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50" w:type="pct"/>
        <w:jc w:val="left"/>
        <w:tblInd w:w="9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432"/>
        <w:gridCol w:w="2613"/>
        <w:gridCol w:w="2633"/>
      </w:tblGrid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</w:tcPr>
          <w:p>
            <w:pPr>
              <w:pStyle w:val="Textopatrenia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nezamestnávalo v priebehu účtovného obdobia zamestnancov. 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nie je zriaďovateľom žiadnej inej účtovnej jednotky. 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Účtovná jednotka predpokladá pokračovať vo svojej činnosti aj v nasledujúcom účtovnom období.</w:t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nezmenilo v priebehu účtovného obdobia účtovné metódy a ani účtovné zásady.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Nenastali žiadne iné zmeny účtovných zásad a účtovných metód.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753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264"/>
        <w:gridCol w:w="3488"/>
      </w:tblGrid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obstaraný iným spôsobom - darom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Netýka sa občianskeho združenia FALANGIR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Netýka sa občianskeho združenia FALANGIR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Netýka sa občianskeho združenia FALANGIR</w:t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/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nedisponuje s dlhodobým majetkom, na ktorý je zriadené záložné právo, resp. pri ktorom má účtovná jednotka obmedzené právo s ním nakladať.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plánuje realizovať svoju činnosť v prenajatých priestoroch, poistenie nehnuteľnosti bude súčasťou nájomného.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neúčtuje o dlhodobom finančnom majetku.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>Občianske združenie FALANGIR neúčtovalo o opravnej položke k dlhodobému finančnému majetku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tbl>
      <w:tblPr>
        <w:tblW w:w="10185" w:type="dxa"/>
        <w:jc w:val="left"/>
        <w:tblInd w:w="-1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60"/>
        <w:gridCol w:w="3449"/>
        <w:gridCol w:w="3476"/>
      </w:tblGrid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58,00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58,00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6036,81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2350,79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6091,81</w:t>
            </w:r>
          </w:p>
        </w:tc>
        <w:tc>
          <w:tcPr>
            <w:tcW w:w="3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2408,79</w:t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Netýka sa občianskeho združenia FALANGIR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1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164"/>
        <w:gridCol w:w="4650"/>
        <w:gridCol w:w="2164"/>
      </w:tblGrid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4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4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9  o vývoji opravných položiek k pohľadávkam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neúčtovalo o opravných položkách k pohľadávkam v priebehu účtovného obdobia.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1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10"/>
        <w:gridCol w:w="2931"/>
        <w:gridCol w:w="3137"/>
      </w:tblGrid>
      <w:tr>
        <w:trPr>
          <w:trHeight w:val="284" w:hRule="atLeast"/>
        </w:trPr>
        <w:tc>
          <w:tcPr>
            <w:tcW w:w="39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0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1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48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31"/>
        <w:gridCol w:w="4889"/>
        <w:gridCol w:w="2158"/>
      </w:tblGrid>
      <w:tr>
        <w:trPr>
          <w:trHeight w:val="284" w:hRule="atLeast"/>
        </w:trPr>
        <w:tc>
          <w:tcPr>
            <w:tcW w:w="2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2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/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7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Občianske združenie FALANGIR bolo zaregistrované Ministerstvom vnútra SR dňa 05.12.2019 pod registračným číslom VVS/1-900/90-57829. </w:t>
      </w:r>
    </w:p>
    <w:p>
      <w:pPr>
        <w:pStyle w:val="Normal"/>
        <w:numPr>
          <w:ilvl w:val="0"/>
          <w:numId w:val="7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120"/>
        <w:rPr/>
      </w:pPr>
      <w:r>
        <w:rPr>
          <w:sz w:val="18"/>
          <w:szCs w:val="18"/>
        </w:rPr>
        <w:t>Občianske združenie FALANGIR neúčtovalo o opravách významných chýb minulého obdobia v priebehu účtovného obdobia 202</w:t>
      </w:r>
      <w:r>
        <w:rPr>
          <w:sz w:val="18"/>
          <w:szCs w:val="18"/>
        </w:rPr>
        <w:t>3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tbl>
      <w:tblPr>
        <w:tblW w:w="4800" w:type="pct"/>
        <w:jc w:val="left"/>
        <w:tblInd w:w="-1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98"/>
        <w:gridCol w:w="1139"/>
        <w:gridCol w:w="1138"/>
        <w:gridCol w:w="1141"/>
        <w:gridCol w:w="1139"/>
        <w:gridCol w:w="1222"/>
      </w:tblGrid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10" w:hRule="atLeast"/>
        </w:trPr>
        <w:tc>
          <w:tcPr>
            <w:tcW w:w="95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95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Fondy zo zisku</w:t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2468,59</w:t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-1122,63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3626,22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-1122,63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3626,22</w:t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-1122,63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3626,22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-1122,63</w:t>
            </w:r>
          </w:p>
        </w:tc>
        <w:tc>
          <w:tcPr>
            <w:tcW w:w="1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6094,81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3850" w:type="pct"/>
        <w:jc w:val="left"/>
        <w:tblInd w:w="-15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436"/>
        <w:gridCol w:w="2246"/>
      </w:tblGrid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TopHeader"/>
              <w:rPr/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1122,63</w:t>
            </w:r>
          </w:p>
        </w:tc>
      </w:tr>
      <w:tr>
        <w:trPr>
          <w:trHeight w:val="146" w:hRule="atLeast"/>
        </w:trPr>
        <w:tc>
          <w:tcPr>
            <w:tcW w:w="76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účtovnej straty</w:t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1122,63</w:t>
            </w:r>
          </w:p>
        </w:tc>
      </w:tr>
      <w:tr>
        <w:trPr>
          <w:trHeight w:val="146" w:hRule="atLeast"/>
        </w:trPr>
        <w:tc>
          <w:tcPr>
            <w:tcW w:w="54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62"/>
        <w:gridCol w:w="1078"/>
        <w:gridCol w:w="1411"/>
        <w:gridCol w:w="1411"/>
        <w:gridCol w:w="1410"/>
        <w:gridCol w:w="1405"/>
      </w:tblGrid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štatutárny audit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nevyčerpanú dovolenku vrát. odvodov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2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9921" w:type="dxa"/>
        <w:jc w:val="lef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93"/>
        <w:gridCol w:w="1336"/>
        <w:gridCol w:w="1357"/>
        <w:gridCol w:w="1559"/>
        <w:gridCol w:w="1276"/>
      </w:tblGrid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záväzky spolu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9921" w:type="dxa"/>
        <w:jc w:val="lef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93"/>
        <w:gridCol w:w="2691"/>
        <w:gridCol w:w="2837"/>
      </w:tblGrid>
      <w:tr>
        <w:trPr>
          <w:trHeight w:val="284" w:hRule="atLeast"/>
        </w:trPr>
        <w:tc>
          <w:tcPr>
            <w:tcW w:w="4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3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 záväzkoch</w:t>
      </w:r>
    </w:p>
    <w:tbl>
      <w:tblPr>
        <w:tblW w:w="5000" w:type="pct"/>
        <w:jc w:val="lef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81"/>
        <w:gridCol w:w="2496"/>
        <w:gridCol w:w="2501"/>
      </w:tblGrid>
      <w:tr>
        <w:trPr>
          <w:trHeight w:val="284" w:hRule="atLeast"/>
        </w:trPr>
        <w:tc>
          <w:tcPr>
            <w:tcW w:w="49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highlight w:val="yellow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  <w:tc>
          <w:tcPr>
            <w:tcW w:w="2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20"/>
        <w:gridCol w:w="3147"/>
        <w:gridCol w:w="3111"/>
      </w:tblGrid>
      <w:tr>
        <w:trPr>
          <w:trHeight w:val="284" w:hRule="atLeast"/>
        </w:trPr>
        <w:tc>
          <w:tcPr>
            <w:tcW w:w="3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3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numPr>
          <w:ilvl w:val="0"/>
          <w:numId w:val="9"/>
        </w:numPr>
        <w:spacing w:lineRule="auto" w:line="240"/>
        <w:rPr/>
      </w:pPr>
      <w:r>
        <w:rPr>
          <w:sz w:val="18"/>
          <w:szCs w:val="18"/>
        </w:rPr>
        <w:t>prehľad o významných položkách časového rozlíšenia výdavkov budúcich období.</w:t>
      </w:r>
    </w:p>
    <w:p>
      <w:pPr>
        <w:pStyle w:val="Normal"/>
        <w:spacing w:lineRule="auto" w:line="240" w:before="0" w:after="0"/>
        <w:ind w:left="3" w:hanging="0"/>
        <w:rPr/>
      </w:pPr>
      <w:r>
        <w:rPr>
          <w:sz w:val="18"/>
          <w:szCs w:val="18"/>
        </w:rPr>
        <w:t>Organizácia eviduje položky na tomto účte časového rozlíšenia:</w:t>
      </w:r>
      <w:r>
        <w:rPr>
          <w:sz w:val="18"/>
          <w:szCs w:val="18"/>
        </w:rPr>
        <w:t>0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významných položkách výnosov budúcich období 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3"/>
        <w:gridCol w:w="1550"/>
        <w:gridCol w:w="1550"/>
        <w:gridCol w:w="1550"/>
        <w:gridCol w:w="1559"/>
      </w:tblGrid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darom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nemá prenajatý dlhodobý finančný majetok formou finančného lízingu.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025"/>
        <w:gridCol w:w="2973"/>
        <w:gridCol w:w="2980"/>
      </w:tblGrid>
      <w:tr>
        <w:trPr>
          <w:trHeight w:val="284" w:hRule="atLeast"/>
        </w:trPr>
        <w:tc>
          <w:tcPr>
            <w:tcW w:w="4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 služby, z toho</w:t>
            </w:r>
          </w:p>
        </w:tc>
        <w:tc>
          <w:tcPr>
            <w:tcW w:w="2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služby</w:t>
            </w:r>
          </w:p>
        </w:tc>
        <w:tc>
          <w:tcPr>
            <w:tcW w:w="29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6750,00</w:t>
            </w:r>
          </w:p>
        </w:tc>
        <w:tc>
          <w:tcPr>
            <w:tcW w:w="2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Sponzorské príspevky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520,00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Mesto MA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800,00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BSK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3000,00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900" w:type="pct"/>
        <w:jc w:val="lef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9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Fond na podporu umenia</w:t>
            </w:r>
          </w:p>
        </w:tc>
        <w:tc>
          <w:tcPr>
            <w:tcW w:w="3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3000,00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NOC</w:t>
            </w:r>
          </w:p>
        </w:tc>
        <w:tc>
          <w:tcPr>
            <w:tcW w:w="3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2062,00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4900" w:type="pct"/>
        <w:jc w:val="lef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9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Dolné Záhorie</w:t>
            </w:r>
          </w:p>
        </w:tc>
        <w:tc>
          <w:tcPr>
            <w:tcW w:w="3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340,00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2%</w:t>
            </w:r>
          </w:p>
        </w:tc>
        <w:tc>
          <w:tcPr>
            <w:tcW w:w="30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2534,26</w:t>
            </w:r>
          </w:p>
        </w:tc>
      </w:tr>
    </w:tbl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výnosov.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služby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11442,63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Poplatky banke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76,60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i/>
                <w:sz w:val="16"/>
                <w:szCs w:val="16"/>
              </w:rPr>
              <w:t>spotreba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3645,79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i/>
                <w:sz w:val="16"/>
                <w:szCs w:val="16"/>
              </w:rPr>
              <w:t>energie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215,02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ostatné náklady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204,21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03"/>
        <w:gridCol w:w="2728"/>
        <w:gridCol w:w="2247"/>
      </w:tblGrid>
      <w:tr>
        <w:trPr>
          <w:trHeight w:val="284" w:hRule="atLeast"/>
        </w:trPr>
        <w:tc>
          <w:tcPr>
            <w:tcW w:w="4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Materiál a služby</w:t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2534,26</w:t>
            </w:r>
          </w:p>
        </w:tc>
      </w:tr>
      <w:tr>
        <w:trPr>
          <w:trHeight w:val="284" w:hRule="atLeast"/>
        </w:trPr>
        <w:tc>
          <w:tcPr>
            <w:tcW w:w="4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75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nákladov. 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-4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608"/>
        <w:gridCol w:w="3169"/>
      </w:tblGrid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66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Opis údajov na podsúvahových účtoch</w:t>
      </w:r>
    </w:p>
    <w:p>
      <w:pPr>
        <w:pStyle w:val="Normal"/>
        <w:spacing w:lineRule="auto" w:line="240" w:before="0" w:after="0"/>
        <w:rPr/>
      </w:pPr>
      <w:r>
        <w:rPr>
          <w:sz w:val="18"/>
          <w:szCs w:val="18"/>
        </w:rPr>
        <w:t xml:space="preserve">Občianske združenie FALANGIR si plánuje prenajať nehnuteľnosť v priestoroch bývalých kasárni v Malackách. Tieto priestory plánuje využívať na poskytovanie svojich základných činností.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Ďalšie informácie</w:t>
      </w:r>
    </w:p>
    <w:p>
      <w:pPr>
        <w:pStyle w:val="Textopatrenia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extopatrenia"/>
        <w:numPr>
          <w:ilvl w:val="0"/>
          <w:numId w:val="12"/>
        </w:numPr>
        <w:spacing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extopatrenia"/>
        <w:numPr>
          <w:ilvl w:val="0"/>
          <w:numId w:val="12"/>
        </w:numPr>
        <w:spacing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opčných obchodov,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4"/>
        </w:numPr>
        <w:spacing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iné povinnosti. 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ostatné finančné povinnosti,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nehnuteľných kultúrnych pamiatok, ktoré sú v správe alebo vo vlastníctve účtovnej jednotky.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vo vlastníctve ani v správe žiadne kultúrne pamiatky.</w:t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Informácie o významných skutočnostiach, ktoré nastali medzi dňom, ku ktorému sa zostavuje účtovná závierka a dňom jej zostavenia.</w:t>
      </w:r>
    </w:p>
    <w:p>
      <w:pPr>
        <w:pStyle w:val="Textopatrenia"/>
        <w:spacing w:before="0" w:after="120"/>
        <w:ind w:left="3" w:hanging="0"/>
        <w:rPr/>
      </w:pPr>
      <w:r>
        <w:rPr>
          <w:sz w:val="18"/>
          <w:szCs w:val="18"/>
        </w:rPr>
        <w:t>Medzi dňom zostavenia účtovnej závierky a dňom, ku ktorému sa účtovná závierka zostavuje, nenastali žiadne iné významné skutočnosti, ktoré by mali významný vplyv na údaje vykázané v účtovnej závierke.</w:t>
      </w:r>
    </w:p>
    <w:p>
      <w:pPr>
        <w:pStyle w:val="Textopatrenia"/>
        <w:spacing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" w:hanging="0"/>
        <w:rPr/>
      </w:pPr>
      <w:r>
        <w:rPr/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9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(%1)"/>
      <w:lvlJc w:val="left"/>
      <w:pPr>
        <w:ind w:left="360" w:hanging="360"/>
      </w:pPr>
      <w:rPr>
        <w:sz w:val="18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7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eastAsia="Times New Roman" w:cs="Arial Narrow"/>
      <w:color w:val="00000A"/>
      <w:sz w:val="20"/>
      <w:szCs w:val="20"/>
      <w:lang w:val="sk-SK" w:eastAsia="cs-CZ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 w:customStyle="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Pr>
      <w:b/>
      <w:bCs/>
      <w:i w:val="false"/>
      <w:iCs w:val="false"/>
    </w:rPr>
  </w:style>
  <w:style w:type="character" w:styleId="ListLabel6" w:customStyle="1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Pr>
      <w:b/>
      <w:bCs/>
      <w:i w:val="false"/>
      <w:iCs w:val="false"/>
    </w:rPr>
  </w:style>
  <w:style w:type="character" w:styleId="ListLabel9" w:customStyle="1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 w:customStyle="1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 w:customStyle="1">
    <w:name w:val="ListLabel 11"/>
    <w:qFormat/>
    <w:rPr>
      <w:rFonts w:cs="Symbol"/>
      <w:b/>
      <w:sz w:val="16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Wingdings"/>
    </w:rPr>
  </w:style>
  <w:style w:type="character" w:styleId="ListLabel14" w:customStyle="1">
    <w:name w:val="ListLabel 14"/>
    <w:qFormat/>
    <w:rPr>
      <w:rFonts w:cs="Symbol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Wingdings"/>
    </w:rPr>
  </w:style>
  <w:style w:type="character" w:styleId="ListLabel17" w:customStyle="1">
    <w:name w:val="ListLabel 17"/>
    <w:qFormat/>
    <w:rPr>
      <w:rFonts w:cs="Symbol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Wingdings"/>
    </w:rPr>
  </w:style>
  <w:style w:type="character" w:styleId="ListLabel20" w:customStyle="1">
    <w:name w:val="ListLabel 20"/>
    <w:qFormat/>
    <w:rPr>
      <w:rFonts w:cs="Symbol"/>
      <w:sz w:val="16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Wingdings"/>
    </w:rPr>
  </w:style>
  <w:style w:type="character" w:styleId="ListLabel23" w:customStyle="1">
    <w:name w:val="ListLabel 23"/>
    <w:qFormat/>
    <w:rPr>
      <w:rFonts w:cs="Symbol"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5" w:customStyle="1">
    <w:name w:val="ListLabel 25"/>
    <w:qFormat/>
    <w:rPr>
      <w:rFonts w:cs="Wingdings"/>
    </w:rPr>
  </w:style>
  <w:style w:type="character" w:styleId="ListLabel26" w:customStyle="1">
    <w:name w:val="ListLabel 26"/>
    <w:qFormat/>
    <w:rPr>
      <w:rFonts w:cs="Symbol"/>
    </w:rPr>
  </w:style>
  <w:style w:type="character" w:styleId="ListLabel27" w:customStyle="1">
    <w:name w:val="ListLabel 27"/>
    <w:qFormat/>
    <w:rPr>
      <w:rFonts w:cs="Courier New"/>
    </w:rPr>
  </w:style>
  <w:style w:type="character" w:styleId="ListLabel28" w:customStyle="1">
    <w:name w:val="ListLabel 28"/>
    <w:qFormat/>
    <w:rPr>
      <w:rFonts w:cs="Wingdings"/>
    </w:rPr>
  </w:style>
  <w:style w:type="character" w:styleId="ListLabel29" w:customStyle="1">
    <w:name w:val="ListLabel 29"/>
    <w:qFormat/>
    <w:rPr>
      <w:rFonts w:cs="Symbol"/>
      <w:sz w:val="16"/>
    </w:rPr>
  </w:style>
  <w:style w:type="character" w:styleId="ListLabel30" w:customStyle="1">
    <w:name w:val="ListLabel 30"/>
    <w:qFormat/>
    <w:rPr>
      <w:rFonts w:cs="Courier New"/>
    </w:rPr>
  </w:style>
  <w:style w:type="character" w:styleId="ListLabel31" w:customStyle="1">
    <w:name w:val="ListLabel 31"/>
    <w:qFormat/>
    <w:rPr>
      <w:rFonts w:cs="Wingdings"/>
    </w:rPr>
  </w:style>
  <w:style w:type="character" w:styleId="ListLabel32" w:customStyle="1">
    <w:name w:val="ListLabel 32"/>
    <w:qFormat/>
    <w:rPr>
      <w:rFonts w:cs="Symbol"/>
    </w:rPr>
  </w:style>
  <w:style w:type="character" w:styleId="ListLabel33" w:customStyle="1">
    <w:name w:val="ListLabel 33"/>
    <w:qFormat/>
    <w:rPr>
      <w:rFonts w:cs="Courier New"/>
    </w:rPr>
  </w:style>
  <w:style w:type="character" w:styleId="ListLabel34" w:customStyle="1">
    <w:name w:val="ListLabel 34"/>
    <w:qFormat/>
    <w:rPr>
      <w:rFonts w:cs="Wingdings"/>
    </w:rPr>
  </w:style>
  <w:style w:type="character" w:styleId="ListLabel35" w:customStyle="1">
    <w:name w:val="ListLabel 35"/>
    <w:qFormat/>
    <w:rPr>
      <w:rFonts w:cs="Symbol"/>
    </w:rPr>
  </w:style>
  <w:style w:type="character" w:styleId="ListLabel36" w:customStyle="1">
    <w:name w:val="ListLabel 36"/>
    <w:qFormat/>
    <w:rPr>
      <w:rFonts w:cs="Courier New"/>
    </w:rPr>
  </w:style>
  <w:style w:type="character" w:styleId="ListLabel37" w:customStyle="1">
    <w:name w:val="ListLabel 37"/>
    <w:qFormat/>
    <w:rPr>
      <w:rFonts w:cs="Wingdings"/>
    </w:rPr>
  </w:style>
  <w:style w:type="character" w:styleId="ListLabel38" w:customStyle="1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 w:customStyle="1">
    <w:name w:val="ListLabel 39"/>
    <w:qFormat/>
    <w:rPr>
      <w:rFonts w:cs="Arial"/>
      <w:b/>
      <w:bCs/>
      <w:i w:val="false"/>
      <w:iCs w:val="false"/>
      <w:sz w:val="24"/>
      <w:szCs w:val="24"/>
    </w:rPr>
  </w:style>
  <w:style w:type="character" w:styleId="ListLabel40" w:customStyle="1">
    <w:name w:val="ListLabel 40"/>
    <w:qFormat/>
    <w:rPr>
      <w:b/>
      <w:bCs/>
      <w:i w:val="false"/>
      <w:iCs w:val="false"/>
    </w:rPr>
  </w:style>
  <w:style w:type="character" w:styleId="ListLabel41" w:customStyle="1">
    <w:name w:val="ListLabel 41"/>
    <w:qFormat/>
    <w:rPr>
      <w:b w:val="false"/>
      <w:bCs w:val="false"/>
      <w:i w:val="false"/>
      <w:iCs w:val="false"/>
      <w:sz w:val="16"/>
    </w:rPr>
  </w:style>
  <w:style w:type="character" w:styleId="ListLabel42" w:customStyle="1">
    <w:name w:val="ListLabel 42"/>
    <w:qFormat/>
    <w:rPr>
      <w:b w:val="false"/>
      <w:bCs w:val="false"/>
      <w:i w:val="false"/>
      <w:iCs w:val="false"/>
      <w:sz w:val="18"/>
    </w:rPr>
  </w:style>
  <w:style w:type="character" w:styleId="ListLabel43" w:customStyle="1">
    <w:name w:val="ListLabel 43"/>
    <w:qFormat/>
    <w:rPr>
      <w:rFonts w:cs="Symbol"/>
      <w:b/>
      <w:sz w:val="16"/>
    </w:rPr>
  </w:style>
  <w:style w:type="character" w:styleId="ListLabel44" w:customStyle="1">
    <w:name w:val="ListLabel 44"/>
    <w:qFormat/>
    <w:rPr>
      <w:rFonts w:cs="Courier New"/>
    </w:rPr>
  </w:style>
  <w:style w:type="character" w:styleId="ListLabel45" w:customStyle="1">
    <w:name w:val="ListLabel 45"/>
    <w:qFormat/>
    <w:rPr>
      <w:rFonts w:cs="Wingdings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cs="Symbol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  <w:sz w:val="16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cs="Symbol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  <w:sz w:val="16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ListLabel67" w:customStyle="1">
    <w:name w:val="ListLabel 67"/>
    <w:qFormat/>
    <w:rPr>
      <w:rFonts w:cs="Symbol"/>
    </w:rPr>
  </w:style>
  <w:style w:type="character" w:styleId="ListLabel68" w:customStyle="1">
    <w:name w:val="ListLabel 68"/>
    <w:qFormat/>
    <w:rPr>
      <w:rFonts w:cs="Courier New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>
    <w:name w:val="ListLabel 70"/>
    <w:qFormat/>
    <w:rPr>
      <w:rFonts w:cs="Arial"/>
      <w:b/>
      <w:bCs/>
      <w:i w:val="false"/>
      <w:iCs w:val="false"/>
      <w:sz w:val="24"/>
      <w:szCs w:val="24"/>
    </w:rPr>
  </w:style>
  <w:style w:type="character" w:styleId="ListLabel71">
    <w:name w:val="ListLabel 71"/>
    <w:qFormat/>
    <w:rPr>
      <w:b/>
      <w:bCs/>
      <w:i w:val="false"/>
      <w:iCs w:val="false"/>
    </w:rPr>
  </w:style>
  <w:style w:type="character" w:styleId="ListLabel72">
    <w:name w:val="ListLabel 72"/>
    <w:qFormat/>
    <w:rPr>
      <w:b w:val="false"/>
      <w:bCs w:val="false"/>
      <w:i w:val="false"/>
      <w:iCs w:val="false"/>
      <w:sz w:val="16"/>
    </w:rPr>
  </w:style>
  <w:style w:type="character" w:styleId="ListLabel73">
    <w:name w:val="ListLabel 73"/>
    <w:qFormat/>
    <w:rPr>
      <w:b w:val="false"/>
      <w:bCs w:val="false"/>
      <w:i w:val="false"/>
      <w:iCs w:val="false"/>
      <w:sz w:val="18"/>
    </w:rPr>
  </w:style>
  <w:style w:type="character" w:styleId="ListLabel74">
    <w:name w:val="ListLabel 74"/>
    <w:qFormat/>
    <w:rPr>
      <w:rFonts w:cs="Symbol"/>
      <w:b/>
      <w:sz w:val="16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Symbol"/>
    </w:rPr>
  </w:style>
  <w:style w:type="character" w:styleId="ListLabel81">
    <w:name w:val="ListLabel 81"/>
    <w:qFormat/>
    <w:rPr>
      <w:rFonts w:cs="Courier New"/>
    </w:rPr>
  </w:style>
  <w:style w:type="character" w:styleId="ListLabel82">
    <w:name w:val="ListLabel 82"/>
    <w:qFormat/>
    <w:rPr>
      <w:rFonts w:cs="Wingdings"/>
    </w:rPr>
  </w:style>
  <w:style w:type="character" w:styleId="ListLabel83">
    <w:name w:val="ListLabel 83"/>
    <w:qFormat/>
    <w:rPr>
      <w:rFonts w:cs="Symbol"/>
      <w:sz w:val="16"/>
    </w:rPr>
  </w:style>
  <w:style w:type="character" w:styleId="ListLabel84">
    <w:name w:val="ListLabel 84"/>
    <w:qFormat/>
    <w:rPr>
      <w:rFonts w:cs="Courier New"/>
    </w:rPr>
  </w:style>
  <w:style w:type="character" w:styleId="ListLabel85">
    <w:name w:val="ListLabel 85"/>
    <w:qFormat/>
    <w:rPr>
      <w:rFonts w:cs="Wingdings"/>
    </w:rPr>
  </w:style>
  <w:style w:type="character" w:styleId="ListLabel86">
    <w:name w:val="ListLabel 86"/>
    <w:qFormat/>
    <w:rPr>
      <w:rFonts w:cs="Symbol"/>
    </w:rPr>
  </w:style>
  <w:style w:type="character" w:styleId="ListLabel87">
    <w:name w:val="ListLabel 87"/>
    <w:qFormat/>
    <w:rPr>
      <w:rFonts w:cs="Courier New"/>
    </w:rPr>
  </w:style>
  <w:style w:type="character" w:styleId="ListLabel88">
    <w:name w:val="ListLabel 88"/>
    <w:qFormat/>
    <w:rPr>
      <w:rFonts w:cs="Wingdings"/>
    </w:rPr>
  </w:style>
  <w:style w:type="character" w:styleId="ListLabel89">
    <w:name w:val="ListLabel 89"/>
    <w:qFormat/>
    <w:rPr>
      <w:rFonts w:cs="Symbol"/>
    </w:rPr>
  </w:style>
  <w:style w:type="character" w:styleId="ListLabel90">
    <w:name w:val="ListLabel 90"/>
    <w:qFormat/>
    <w:rPr>
      <w:rFonts w:cs="Courier New"/>
    </w:rPr>
  </w:style>
  <w:style w:type="character" w:styleId="ListLabel91">
    <w:name w:val="ListLabel 91"/>
    <w:qFormat/>
    <w:rPr>
      <w:rFonts w:cs="Wingdings"/>
    </w:rPr>
  </w:style>
  <w:style w:type="character" w:styleId="ListLabel92">
    <w:name w:val="ListLabel 92"/>
    <w:qFormat/>
    <w:rPr>
      <w:rFonts w:cs="Symbol"/>
      <w:sz w:val="16"/>
    </w:rPr>
  </w:style>
  <w:style w:type="character" w:styleId="ListLabel93">
    <w:name w:val="ListLabel 93"/>
    <w:qFormat/>
    <w:rPr>
      <w:rFonts w:cs="Courier New"/>
    </w:rPr>
  </w:style>
  <w:style w:type="character" w:styleId="ListLabel94">
    <w:name w:val="ListLabel 94"/>
    <w:qFormat/>
    <w:rPr>
      <w:rFonts w:cs="Wingdings"/>
    </w:rPr>
  </w:style>
  <w:style w:type="character" w:styleId="ListLabel95">
    <w:name w:val="ListLabel 95"/>
    <w:qFormat/>
    <w:rPr>
      <w:rFonts w:cs="Symbol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sz w:val="18"/>
      <w:szCs w:val="16"/>
    </w:rPr>
  </w:style>
  <w:style w:type="character" w:styleId="ListLabel102">
    <w:name w:val="ListLabel 10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b w:val="false"/>
      <w:i w:val="false"/>
    </w:rPr>
  </w:style>
  <w:style w:type="character" w:styleId="ListLabel112">
    <w:name w:val="ListLabel 112"/>
    <w:qFormat/>
    <w:rPr>
      <w:rFonts w:cs="Arial"/>
      <w:b/>
      <w:bCs/>
      <w:i w:val="false"/>
      <w:iCs w:val="false"/>
      <w:sz w:val="24"/>
      <w:szCs w:val="24"/>
    </w:rPr>
  </w:style>
  <w:style w:type="character" w:styleId="ListLabel113">
    <w:name w:val="ListLabel 113"/>
    <w:qFormat/>
    <w:rPr>
      <w:b/>
      <w:bCs/>
      <w:i w:val="false"/>
      <w:iCs w:val="false"/>
    </w:rPr>
  </w:style>
  <w:style w:type="character" w:styleId="ListLabel114">
    <w:name w:val="ListLabel 114"/>
    <w:qFormat/>
    <w:rPr>
      <w:b w:val="false"/>
      <w:bCs w:val="false"/>
      <w:i w:val="false"/>
      <w:iCs w:val="false"/>
      <w:sz w:val="16"/>
    </w:rPr>
  </w:style>
  <w:style w:type="character" w:styleId="ListLabel115">
    <w:name w:val="ListLabel 115"/>
    <w:qFormat/>
    <w:rPr>
      <w:b w:val="false"/>
      <w:bCs w:val="false"/>
      <w:i w:val="false"/>
      <w:iCs w:val="false"/>
      <w:sz w:val="18"/>
    </w:rPr>
  </w:style>
  <w:style w:type="character" w:styleId="ListLabel116">
    <w:name w:val="ListLabel 116"/>
    <w:qFormat/>
    <w:rPr>
      <w:rFonts w:cs="Symbol"/>
      <w:sz w:val="16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cs="Symbol"/>
    </w:rPr>
  </w:style>
  <w:style w:type="character" w:styleId="ListLabel120">
    <w:name w:val="ListLabel 120"/>
    <w:qFormat/>
    <w:rPr>
      <w:rFonts w:cs="Courier New"/>
    </w:rPr>
  </w:style>
  <w:style w:type="character" w:styleId="ListLabel121">
    <w:name w:val="ListLabel 121"/>
    <w:qFormat/>
    <w:rPr>
      <w:rFonts w:cs="Wingdings"/>
    </w:rPr>
  </w:style>
  <w:style w:type="character" w:styleId="ListLabel122">
    <w:name w:val="ListLabel 122"/>
    <w:qFormat/>
    <w:rPr>
      <w:rFonts w:cs="Symbol"/>
    </w:rPr>
  </w:style>
  <w:style w:type="character" w:styleId="ListLabel123">
    <w:name w:val="ListLabel 123"/>
    <w:qFormat/>
    <w:rPr>
      <w:rFonts w:cs="Courier New"/>
    </w:rPr>
  </w:style>
  <w:style w:type="character" w:styleId="ListLabel124">
    <w:name w:val="ListLabel 124"/>
    <w:qFormat/>
    <w:rPr>
      <w:rFonts w:cs="Wingdings"/>
    </w:rPr>
  </w:style>
  <w:style w:type="character" w:styleId="ListLabel125">
    <w:name w:val="ListLabel 125"/>
    <w:qFormat/>
    <w:rPr>
      <w:sz w:val="18"/>
      <w:szCs w:val="16"/>
    </w:rPr>
  </w:style>
  <w:style w:type="character" w:styleId="ListLabel126">
    <w:name w:val="ListLabel 126"/>
    <w:qFormat/>
    <w:rPr>
      <w:rFonts w:cs="Arial"/>
      <w:b/>
      <w:bCs/>
      <w:i w:val="false"/>
      <w:iCs w:val="false"/>
      <w:sz w:val="24"/>
      <w:szCs w:val="24"/>
    </w:rPr>
  </w:style>
  <w:style w:type="character" w:styleId="ListLabel127">
    <w:name w:val="ListLabel 127"/>
    <w:qFormat/>
    <w:rPr>
      <w:b/>
      <w:bCs/>
      <w:i w:val="false"/>
      <w:iCs w:val="false"/>
    </w:rPr>
  </w:style>
  <w:style w:type="character" w:styleId="ListLabel128">
    <w:name w:val="ListLabel 128"/>
    <w:qFormat/>
    <w:rPr>
      <w:b w:val="false"/>
      <w:bCs w:val="false"/>
      <w:i w:val="false"/>
      <w:iCs w:val="false"/>
      <w:sz w:val="16"/>
    </w:rPr>
  </w:style>
  <w:style w:type="character" w:styleId="ListLabel129">
    <w:name w:val="ListLabel 129"/>
    <w:qFormat/>
    <w:rPr>
      <w:b w:val="false"/>
      <w:bCs w:val="false"/>
      <w:i w:val="false"/>
      <w:iCs w:val="false"/>
      <w:sz w:val="18"/>
    </w:rPr>
  </w:style>
  <w:style w:type="character" w:styleId="ListLabel130">
    <w:name w:val="ListLabel 130"/>
    <w:qFormat/>
    <w:rPr>
      <w:rFonts w:cs="Symbol"/>
      <w:sz w:val="16"/>
    </w:rPr>
  </w:style>
  <w:style w:type="character" w:styleId="ListLabel131">
    <w:name w:val="ListLabel 131"/>
    <w:qFormat/>
    <w:rPr>
      <w:rFonts w:cs="Courier New"/>
    </w:rPr>
  </w:style>
  <w:style w:type="character" w:styleId="ListLabel132">
    <w:name w:val="ListLabel 132"/>
    <w:qFormat/>
    <w:rPr>
      <w:rFonts w:cs="Wingdings"/>
    </w:rPr>
  </w:style>
  <w:style w:type="character" w:styleId="ListLabel133">
    <w:name w:val="ListLabel 133"/>
    <w:qFormat/>
    <w:rPr>
      <w:rFonts w:cs="Symbol"/>
    </w:rPr>
  </w:style>
  <w:style w:type="character" w:styleId="ListLabel134">
    <w:name w:val="ListLabel 134"/>
    <w:qFormat/>
    <w:rPr>
      <w:rFonts w:cs="Courier New"/>
    </w:rPr>
  </w:style>
  <w:style w:type="character" w:styleId="ListLabel135">
    <w:name w:val="ListLabel 135"/>
    <w:qFormat/>
    <w:rPr>
      <w:rFonts w:cs="Wingdings"/>
    </w:rPr>
  </w:style>
  <w:style w:type="character" w:styleId="ListLabel136">
    <w:name w:val="ListLabel 136"/>
    <w:qFormat/>
    <w:rPr>
      <w:rFonts w:cs="Symbol"/>
    </w:rPr>
  </w:style>
  <w:style w:type="character" w:styleId="ListLabel137">
    <w:name w:val="ListLabel 137"/>
    <w:qFormat/>
    <w:rPr>
      <w:rFonts w:cs="Courier New"/>
    </w:rPr>
  </w:style>
  <w:style w:type="character" w:styleId="ListLabel138">
    <w:name w:val="ListLabel 138"/>
    <w:qFormat/>
    <w:rPr>
      <w:rFonts w:cs="Wingdings"/>
    </w:rPr>
  </w:style>
  <w:style w:type="character" w:styleId="ListLabel139">
    <w:name w:val="ListLabel 139"/>
    <w:qFormat/>
    <w:rPr>
      <w:sz w:val="18"/>
      <w:szCs w:val="16"/>
    </w:rPr>
  </w:style>
  <w:style w:type="character" w:styleId="ListLabel140">
    <w:name w:val="ListLabel 140"/>
    <w:qFormat/>
    <w:rPr>
      <w:rFonts w:cs="Arial"/>
      <w:b/>
      <w:bCs/>
      <w:i w:val="false"/>
      <w:iCs w:val="false"/>
      <w:sz w:val="24"/>
      <w:szCs w:val="24"/>
    </w:rPr>
  </w:style>
  <w:style w:type="character" w:styleId="ListLabel141">
    <w:name w:val="ListLabel 141"/>
    <w:qFormat/>
    <w:rPr>
      <w:b/>
      <w:bCs/>
      <w:i w:val="false"/>
      <w:iCs w:val="false"/>
    </w:rPr>
  </w:style>
  <w:style w:type="character" w:styleId="ListLabel142">
    <w:name w:val="ListLabel 142"/>
    <w:qFormat/>
    <w:rPr>
      <w:b w:val="false"/>
      <w:bCs w:val="false"/>
      <w:i w:val="false"/>
      <w:iCs w:val="false"/>
      <w:sz w:val="16"/>
    </w:rPr>
  </w:style>
  <w:style w:type="character" w:styleId="ListLabel143">
    <w:name w:val="ListLabel 143"/>
    <w:qFormat/>
    <w:rPr>
      <w:b w:val="false"/>
      <w:bCs w:val="false"/>
      <w:i w:val="false"/>
      <w:iCs w:val="false"/>
      <w:sz w:val="18"/>
    </w:rPr>
  </w:style>
  <w:style w:type="character" w:styleId="ListLabel144">
    <w:name w:val="ListLabel 144"/>
    <w:qFormat/>
    <w:rPr>
      <w:rFonts w:cs="Symbol"/>
      <w:sz w:val="16"/>
    </w:rPr>
  </w:style>
  <w:style w:type="character" w:styleId="ListLabel145">
    <w:name w:val="ListLabel 145"/>
    <w:qFormat/>
    <w:rPr>
      <w:rFonts w:cs="Courier New"/>
    </w:rPr>
  </w:style>
  <w:style w:type="character" w:styleId="ListLabel146">
    <w:name w:val="ListLabel 146"/>
    <w:qFormat/>
    <w:rPr>
      <w:rFonts w:cs="Wingdings"/>
    </w:rPr>
  </w:style>
  <w:style w:type="character" w:styleId="ListLabel147">
    <w:name w:val="ListLabel 147"/>
    <w:qFormat/>
    <w:rPr>
      <w:rFonts w:cs="Symbol"/>
    </w:rPr>
  </w:style>
  <w:style w:type="character" w:styleId="ListLabel148">
    <w:name w:val="ListLabel 148"/>
    <w:qFormat/>
    <w:rPr>
      <w:rFonts w:cs="Courier New"/>
    </w:rPr>
  </w:style>
  <w:style w:type="character" w:styleId="ListLabel149">
    <w:name w:val="ListLabel 149"/>
    <w:qFormat/>
    <w:rPr>
      <w:rFonts w:cs="Wingdings"/>
    </w:rPr>
  </w:style>
  <w:style w:type="character" w:styleId="ListLabel150">
    <w:name w:val="ListLabel 150"/>
    <w:qFormat/>
    <w:rPr>
      <w:rFonts w:cs="Symbol"/>
    </w:rPr>
  </w:style>
  <w:style w:type="character" w:styleId="ListLabel151">
    <w:name w:val="ListLabel 151"/>
    <w:qFormat/>
    <w:rPr>
      <w:rFonts w:cs="Courier New"/>
    </w:rPr>
  </w:style>
  <w:style w:type="character" w:styleId="ListLabel152">
    <w:name w:val="ListLabel 152"/>
    <w:qFormat/>
    <w:rPr>
      <w:rFonts w:cs="Wingdings"/>
    </w:rPr>
  </w:style>
  <w:style w:type="character" w:styleId="ListLabel153">
    <w:name w:val="ListLabel 153"/>
    <w:qFormat/>
    <w:rPr>
      <w:sz w:val="18"/>
      <w:szCs w:val="16"/>
    </w:rPr>
  </w:style>
  <w:style w:type="character" w:styleId="ListLabel154">
    <w:name w:val="ListLabel 154"/>
    <w:qFormat/>
    <w:rPr>
      <w:rFonts w:cs="Arial"/>
      <w:b/>
      <w:bCs/>
      <w:i w:val="false"/>
      <w:iCs w:val="false"/>
      <w:sz w:val="24"/>
      <w:szCs w:val="24"/>
    </w:rPr>
  </w:style>
  <w:style w:type="character" w:styleId="ListLabel155">
    <w:name w:val="ListLabel 155"/>
    <w:qFormat/>
    <w:rPr>
      <w:b/>
      <w:bCs/>
      <w:i w:val="false"/>
      <w:iCs w:val="false"/>
    </w:rPr>
  </w:style>
  <w:style w:type="character" w:styleId="ListLabel156">
    <w:name w:val="ListLabel 156"/>
    <w:qFormat/>
    <w:rPr>
      <w:b w:val="false"/>
      <w:bCs w:val="false"/>
      <w:i w:val="false"/>
      <w:iCs w:val="false"/>
      <w:sz w:val="16"/>
    </w:rPr>
  </w:style>
  <w:style w:type="character" w:styleId="ListLabel157">
    <w:name w:val="ListLabel 157"/>
    <w:qFormat/>
    <w:rPr>
      <w:b w:val="false"/>
      <w:bCs w:val="false"/>
      <w:i w:val="false"/>
      <w:iCs w:val="false"/>
      <w:sz w:val="18"/>
    </w:rPr>
  </w:style>
  <w:style w:type="character" w:styleId="ListLabel158">
    <w:name w:val="ListLabel 158"/>
    <w:qFormat/>
    <w:rPr>
      <w:rFonts w:cs="Symbol"/>
      <w:sz w:val="16"/>
    </w:rPr>
  </w:style>
  <w:style w:type="character" w:styleId="ListLabel159">
    <w:name w:val="ListLabel 159"/>
    <w:qFormat/>
    <w:rPr>
      <w:rFonts w:cs="Courier New"/>
    </w:rPr>
  </w:style>
  <w:style w:type="character" w:styleId="ListLabel160">
    <w:name w:val="ListLabel 160"/>
    <w:qFormat/>
    <w:rPr>
      <w:rFonts w:cs="Wingdings"/>
    </w:rPr>
  </w:style>
  <w:style w:type="character" w:styleId="ListLabel161">
    <w:name w:val="ListLabel 161"/>
    <w:qFormat/>
    <w:rPr>
      <w:rFonts w:cs="Symbol"/>
    </w:rPr>
  </w:style>
  <w:style w:type="character" w:styleId="ListLabel162">
    <w:name w:val="ListLabel 162"/>
    <w:qFormat/>
    <w:rPr>
      <w:rFonts w:cs="Courier New"/>
    </w:rPr>
  </w:style>
  <w:style w:type="character" w:styleId="ListLabel163">
    <w:name w:val="ListLabel 163"/>
    <w:qFormat/>
    <w:rPr>
      <w:rFonts w:cs="Wingdings"/>
    </w:rPr>
  </w:style>
  <w:style w:type="character" w:styleId="ListLabel164">
    <w:name w:val="ListLabel 164"/>
    <w:qFormat/>
    <w:rPr>
      <w:rFonts w:cs="Symbol"/>
    </w:rPr>
  </w:style>
  <w:style w:type="character" w:styleId="ListLabel165">
    <w:name w:val="ListLabel 165"/>
    <w:qFormat/>
    <w:rPr>
      <w:rFonts w:cs="Courier New"/>
    </w:rPr>
  </w:style>
  <w:style w:type="character" w:styleId="ListLabel166">
    <w:name w:val="ListLabel 166"/>
    <w:qFormat/>
    <w:rPr>
      <w:rFonts w:cs="Wingdings"/>
    </w:rPr>
  </w:style>
  <w:style w:type="character" w:styleId="ListLabel167">
    <w:name w:val="ListLabel 167"/>
    <w:qFormat/>
    <w:rPr>
      <w:sz w:val="18"/>
      <w:szCs w:val="16"/>
    </w:rPr>
  </w:style>
  <w:style w:type="character" w:styleId="ListLabel168">
    <w:name w:val="ListLabel 168"/>
    <w:qFormat/>
    <w:rPr>
      <w:rFonts w:cs="Arial"/>
      <w:b/>
      <w:bCs/>
      <w:i w:val="false"/>
      <w:iCs w:val="false"/>
      <w:sz w:val="24"/>
      <w:szCs w:val="24"/>
    </w:rPr>
  </w:style>
  <w:style w:type="character" w:styleId="ListLabel169">
    <w:name w:val="ListLabel 169"/>
    <w:qFormat/>
    <w:rPr>
      <w:b/>
      <w:bCs/>
      <w:i w:val="false"/>
      <w:iCs w:val="false"/>
    </w:rPr>
  </w:style>
  <w:style w:type="character" w:styleId="ListLabel170">
    <w:name w:val="ListLabel 170"/>
    <w:qFormat/>
    <w:rPr>
      <w:b w:val="false"/>
      <w:bCs w:val="false"/>
      <w:i w:val="false"/>
      <w:iCs w:val="false"/>
      <w:sz w:val="16"/>
    </w:rPr>
  </w:style>
  <w:style w:type="character" w:styleId="ListLabel171">
    <w:name w:val="ListLabel 171"/>
    <w:qFormat/>
    <w:rPr>
      <w:b w:val="false"/>
      <w:bCs w:val="false"/>
      <w:i w:val="false"/>
      <w:iCs w:val="false"/>
      <w:sz w:val="18"/>
    </w:rPr>
  </w:style>
  <w:style w:type="character" w:styleId="ListLabel172">
    <w:name w:val="ListLabel 172"/>
    <w:qFormat/>
    <w:rPr>
      <w:rFonts w:cs="Symbol"/>
      <w:sz w:val="16"/>
    </w:rPr>
  </w:style>
  <w:style w:type="character" w:styleId="ListLabel173">
    <w:name w:val="ListLabel 173"/>
    <w:qFormat/>
    <w:rPr>
      <w:rFonts w:cs="Courier New"/>
    </w:rPr>
  </w:style>
  <w:style w:type="character" w:styleId="ListLabel174">
    <w:name w:val="ListLabel 174"/>
    <w:qFormat/>
    <w:rPr>
      <w:rFonts w:cs="Wingdings"/>
    </w:rPr>
  </w:style>
  <w:style w:type="character" w:styleId="ListLabel175">
    <w:name w:val="ListLabel 175"/>
    <w:qFormat/>
    <w:rPr>
      <w:rFonts w:cs="Symbol"/>
    </w:rPr>
  </w:style>
  <w:style w:type="character" w:styleId="ListLabel176">
    <w:name w:val="ListLabel 176"/>
    <w:qFormat/>
    <w:rPr>
      <w:rFonts w:cs="Courier New"/>
    </w:rPr>
  </w:style>
  <w:style w:type="character" w:styleId="ListLabel177">
    <w:name w:val="ListLabel 177"/>
    <w:qFormat/>
    <w:rPr>
      <w:rFonts w:cs="Wingdings"/>
    </w:rPr>
  </w:style>
  <w:style w:type="character" w:styleId="ListLabel178">
    <w:name w:val="ListLabel 178"/>
    <w:qFormat/>
    <w:rPr>
      <w:rFonts w:cs="Symbol"/>
    </w:rPr>
  </w:style>
  <w:style w:type="character" w:styleId="ListLabel179">
    <w:name w:val="ListLabel 179"/>
    <w:qFormat/>
    <w:rPr>
      <w:rFonts w:cs="Courier New"/>
    </w:rPr>
  </w:style>
  <w:style w:type="character" w:styleId="ListLabel180">
    <w:name w:val="ListLabel 180"/>
    <w:qFormat/>
    <w:rPr>
      <w:rFonts w:cs="Wingdings"/>
    </w:rPr>
  </w:style>
  <w:style w:type="character" w:styleId="ListLabel181">
    <w:name w:val="ListLabel 181"/>
    <w:qFormat/>
    <w:rPr>
      <w:sz w:val="18"/>
      <w:szCs w:val="16"/>
    </w:rPr>
  </w:style>
  <w:style w:type="character" w:styleId="ListLabel182">
    <w:name w:val="ListLabel 182"/>
    <w:qFormat/>
    <w:rPr>
      <w:rFonts w:cs="Arial"/>
      <w:b/>
      <w:bCs/>
      <w:i w:val="false"/>
      <w:iCs w:val="false"/>
      <w:sz w:val="24"/>
      <w:szCs w:val="24"/>
    </w:rPr>
  </w:style>
  <w:style w:type="character" w:styleId="ListLabel183">
    <w:name w:val="ListLabel 183"/>
    <w:qFormat/>
    <w:rPr>
      <w:b/>
      <w:bCs/>
      <w:i w:val="false"/>
      <w:iCs w:val="false"/>
    </w:rPr>
  </w:style>
  <w:style w:type="character" w:styleId="ListLabel184">
    <w:name w:val="ListLabel 184"/>
    <w:qFormat/>
    <w:rPr>
      <w:b w:val="false"/>
      <w:bCs w:val="false"/>
      <w:i w:val="false"/>
      <w:iCs w:val="false"/>
      <w:sz w:val="16"/>
    </w:rPr>
  </w:style>
  <w:style w:type="character" w:styleId="ListLabel185">
    <w:name w:val="ListLabel 185"/>
    <w:qFormat/>
    <w:rPr>
      <w:b w:val="false"/>
      <w:bCs w:val="false"/>
      <w:i w:val="false"/>
      <w:iCs w:val="false"/>
      <w:sz w:val="18"/>
    </w:rPr>
  </w:style>
  <w:style w:type="character" w:styleId="ListLabel186">
    <w:name w:val="ListLabel 186"/>
    <w:qFormat/>
    <w:rPr>
      <w:rFonts w:cs="Symbol"/>
      <w:sz w:val="16"/>
    </w:rPr>
  </w:style>
  <w:style w:type="character" w:styleId="ListLabel187">
    <w:name w:val="ListLabel 187"/>
    <w:qFormat/>
    <w:rPr>
      <w:rFonts w:cs="Courier New"/>
    </w:rPr>
  </w:style>
  <w:style w:type="character" w:styleId="ListLabel188">
    <w:name w:val="ListLabel 188"/>
    <w:qFormat/>
    <w:rPr>
      <w:rFonts w:cs="Wingdings"/>
    </w:rPr>
  </w:style>
  <w:style w:type="character" w:styleId="ListLabel189">
    <w:name w:val="ListLabel 189"/>
    <w:qFormat/>
    <w:rPr>
      <w:rFonts w:cs="Symbol"/>
    </w:rPr>
  </w:style>
  <w:style w:type="character" w:styleId="ListLabel190">
    <w:name w:val="ListLabel 190"/>
    <w:qFormat/>
    <w:rPr>
      <w:rFonts w:cs="Courier New"/>
    </w:rPr>
  </w:style>
  <w:style w:type="character" w:styleId="ListLabel191">
    <w:name w:val="ListLabel 191"/>
    <w:qFormat/>
    <w:rPr>
      <w:rFonts w:cs="Wingdings"/>
    </w:rPr>
  </w:style>
  <w:style w:type="character" w:styleId="ListLabel192">
    <w:name w:val="ListLabel 192"/>
    <w:qFormat/>
    <w:rPr>
      <w:rFonts w:cs="Symbol"/>
    </w:rPr>
  </w:style>
  <w:style w:type="character" w:styleId="ListLabel193">
    <w:name w:val="ListLabel 193"/>
    <w:qFormat/>
    <w:rPr>
      <w:rFonts w:cs="Courier New"/>
    </w:rPr>
  </w:style>
  <w:style w:type="character" w:styleId="ListLabel194">
    <w:name w:val="ListLabel 194"/>
    <w:qFormat/>
    <w:rPr>
      <w:rFonts w:cs="Wingdings"/>
    </w:rPr>
  </w:style>
  <w:style w:type="character" w:styleId="ListLabel195">
    <w:name w:val="ListLabel 195"/>
    <w:qFormat/>
    <w:rPr>
      <w:sz w:val="18"/>
      <w:szCs w:val="16"/>
    </w:rPr>
  </w:style>
  <w:style w:type="character" w:styleId="ListLabel196">
    <w:name w:val="ListLabel 196"/>
    <w:qFormat/>
    <w:rPr>
      <w:rFonts w:cs="Arial"/>
      <w:b/>
      <w:bCs/>
      <w:i w:val="false"/>
      <w:iCs w:val="false"/>
      <w:sz w:val="24"/>
      <w:szCs w:val="24"/>
    </w:rPr>
  </w:style>
  <w:style w:type="character" w:styleId="ListLabel197">
    <w:name w:val="ListLabel 197"/>
    <w:qFormat/>
    <w:rPr>
      <w:b/>
      <w:bCs/>
      <w:i w:val="false"/>
      <w:iCs w:val="false"/>
    </w:rPr>
  </w:style>
  <w:style w:type="character" w:styleId="ListLabel198">
    <w:name w:val="ListLabel 198"/>
    <w:qFormat/>
    <w:rPr>
      <w:b w:val="false"/>
      <w:bCs w:val="false"/>
      <w:i w:val="false"/>
      <w:iCs w:val="false"/>
      <w:sz w:val="16"/>
    </w:rPr>
  </w:style>
  <w:style w:type="character" w:styleId="ListLabel199">
    <w:name w:val="ListLabel 199"/>
    <w:qFormat/>
    <w:rPr>
      <w:b w:val="false"/>
      <w:bCs w:val="false"/>
      <w:i w:val="false"/>
      <w:iCs w:val="false"/>
      <w:sz w:val="18"/>
    </w:rPr>
  </w:style>
  <w:style w:type="character" w:styleId="ListLabel200">
    <w:name w:val="ListLabel 200"/>
    <w:qFormat/>
    <w:rPr>
      <w:rFonts w:cs="Symbol"/>
      <w:sz w:val="16"/>
    </w:rPr>
  </w:style>
  <w:style w:type="character" w:styleId="ListLabel201">
    <w:name w:val="ListLabel 201"/>
    <w:qFormat/>
    <w:rPr>
      <w:rFonts w:cs="Courier New"/>
    </w:rPr>
  </w:style>
  <w:style w:type="character" w:styleId="ListLabel202">
    <w:name w:val="ListLabel 202"/>
    <w:qFormat/>
    <w:rPr>
      <w:rFonts w:cs="Wingdings"/>
    </w:rPr>
  </w:style>
  <w:style w:type="character" w:styleId="ListLabel203">
    <w:name w:val="ListLabel 203"/>
    <w:qFormat/>
    <w:rPr>
      <w:rFonts w:cs="Symbol"/>
    </w:rPr>
  </w:style>
  <w:style w:type="character" w:styleId="ListLabel204">
    <w:name w:val="ListLabel 204"/>
    <w:qFormat/>
    <w:rPr>
      <w:rFonts w:cs="Courier New"/>
    </w:rPr>
  </w:style>
  <w:style w:type="character" w:styleId="ListLabel205">
    <w:name w:val="ListLabel 205"/>
    <w:qFormat/>
    <w:rPr>
      <w:rFonts w:cs="Wingdings"/>
    </w:rPr>
  </w:style>
  <w:style w:type="character" w:styleId="ListLabel206">
    <w:name w:val="ListLabel 206"/>
    <w:qFormat/>
    <w:rPr>
      <w:rFonts w:cs="Symbol"/>
    </w:rPr>
  </w:style>
  <w:style w:type="character" w:styleId="ListLabel207">
    <w:name w:val="ListLabel 207"/>
    <w:qFormat/>
    <w:rPr>
      <w:rFonts w:cs="Courier New"/>
    </w:rPr>
  </w:style>
  <w:style w:type="character" w:styleId="ListLabel208">
    <w:name w:val="ListLabel 208"/>
    <w:qFormat/>
    <w:rPr>
      <w:rFonts w:cs="Wingdings"/>
    </w:rPr>
  </w:style>
  <w:style w:type="character" w:styleId="ListLabel209">
    <w:name w:val="ListLabel 209"/>
    <w:qFormat/>
    <w:rPr>
      <w:sz w:val="18"/>
      <w:szCs w:val="16"/>
    </w:rPr>
  </w:style>
  <w:style w:type="paragraph" w:styleId="Nadpis" w:customStyle="1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/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</w:pPr>
    <w:rPr>
      <w:rFonts w:cs="Arial"/>
      <w:i/>
      <w:iCs/>
      <w:sz w:val="24"/>
      <w:szCs w:val="24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eastAsia="Times New Roman" w:cs="Arial"/>
      <w:color w:val="000000"/>
      <w:sz w:val="24"/>
      <w:szCs w:val="24"/>
      <w:lang w:val="sk-SK" w:eastAsia="cs-CZ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eastAsia="Times New Roman" w:cs="Arial"/>
      <w:b/>
      <w:bCs/>
      <w:color w:val="00000A"/>
      <w:sz w:val="24"/>
      <w:szCs w:val="24"/>
      <w:lang w:val="sk-SK" w:eastAsia="cs-CZ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eastAsia="Times New Roman" w:cs="Arial"/>
      <w:color w:val="00000A"/>
      <w:sz w:val="16"/>
      <w:szCs w:val="16"/>
      <w:lang w:val="sk-SK" w:eastAsia="cs-CZ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eastAsia="Times New Roman" w:cs="Arial"/>
      <w:color w:val="00000A"/>
      <w:sz w:val="24"/>
      <w:szCs w:val="24"/>
      <w:lang w:val="sk-SK" w:eastAsia="cs-CZ" w:bidi="ar-SA"/>
    </w:rPr>
  </w:style>
  <w:style w:type="paragraph" w:styleId="Textopatrenia" w:customStyle="1">
    <w:name w:val="Text opatrenia"/>
    <w:qFormat/>
    <w:rsid w:val="00503a66"/>
    <w:pPr>
      <w:widowControl/>
      <w:bidi w:val="0"/>
      <w:spacing w:before="120" w:after="120"/>
      <w:jc w:val="both"/>
    </w:pPr>
    <w:rPr>
      <w:rFonts w:ascii="Arial Narrow" w:hAnsi="Arial Narrow" w:eastAsia="Times New Roman" w:cs="Arial Narrow"/>
      <w:color w:val="00000A"/>
      <w:sz w:val="20"/>
      <w:szCs w:val="22"/>
      <w:lang w:val="sk-SK" w:eastAsia="cs-CZ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 w:customStyle="1">
    <w:name w:val="Obsah tabuľky"/>
    <w:basedOn w:val="Normal"/>
    <w:qFormat/>
    <w:pPr/>
    <w:rPr/>
  </w:style>
  <w:style w:type="paragraph" w:styleId="Nadpistabuky" w:customStyle="1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Application>LibreOffice/5.3.4.2$Windows_x86 LibreOffice_project/f82d347ccc0be322489bf7da61d7e4ad13fe2ff3</Application>
  <Pages>7</Pages>
  <Words>2874</Words>
  <Characters>17591</Characters>
  <CharactersWithSpaces>20018</CharactersWithSpaces>
  <Paragraphs>460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2018-03-26T09:24:00Z</dcterms:created>
  <dc:creator>Vlaďka</dc:creator>
  <dc:description/>
  <dc:language>sk-SK</dc:language>
  <cp:lastModifiedBy/>
  <cp:lastPrinted>2022-03-15T11:47:07Z</cp:lastPrinted>
  <dcterms:modified xsi:type="dcterms:W3CDTF">2024-05-21T17:14:46Z</dcterms:modified>
  <cp:revision>337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