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51" w:rsidRDefault="00673F51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673F51" w:rsidRDefault="00673F51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73F51" w:rsidRDefault="00804320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673F51" w:rsidRDefault="00804320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 xml:space="preserve">Názov právnickej osoby : MUDr. Katarína </w:t>
      </w:r>
      <w:proofErr w:type="spellStart"/>
      <w:r>
        <w:rPr>
          <w:rFonts w:ascii="Cambria" w:hAnsi="Cambria" w:cs="Arial"/>
          <w:b/>
        </w:rPr>
        <w:t>Petranska</w:t>
      </w:r>
      <w:proofErr w:type="spellEnd"/>
      <w:r>
        <w:rPr>
          <w:rFonts w:ascii="Cambria" w:hAnsi="Cambria" w:cs="Arial"/>
          <w:b/>
        </w:rPr>
        <w:t>, s.r.o.</w:t>
      </w:r>
    </w:p>
    <w:p w:rsidR="00673F51" w:rsidRDefault="00804320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>
        <w:t>Hviezdoslavova 4241/42, 018 41  Dubnica nad Váhom</w:t>
      </w:r>
    </w:p>
    <w:p w:rsidR="00673F51" w:rsidRDefault="00673F51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673F51" w:rsidRDefault="00804320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</w:rPr>
        <w:tab/>
      </w:r>
    </w:p>
    <w:p w:rsidR="00673F51" w:rsidRDefault="00673F51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673F51" w:rsidRDefault="00804320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 o konsolidovanom celku, ak je účtovná jednotka jeho súčasťou:</w:t>
      </w:r>
    </w:p>
    <w:p w:rsidR="00673F51" w:rsidRDefault="00673F5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673F51" w:rsidRDefault="00804320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673F51" w:rsidRDefault="00673F5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673F51" w:rsidRDefault="00804320">
      <w:pPr>
        <w:spacing w:after="0"/>
        <w:ind w:left="852" w:hanging="426"/>
        <w:jc w:val="both"/>
      </w:pPr>
      <w:r>
        <w:rPr>
          <w:rFonts w:ascii="Cambria" w:hAnsi="Cambria" w:cs="Arial"/>
          <w:sz w:val="20"/>
          <w:szCs w:val="20"/>
        </w:rPr>
        <w:t>ÚJ nemá náplň pre túto položku. </w:t>
      </w:r>
      <w:r>
        <w:rPr>
          <w:rFonts w:ascii="Cambria" w:hAnsi="Cambria" w:cs="Arial"/>
          <w:b/>
          <w:sz w:val="20"/>
          <w:szCs w:val="20"/>
        </w:rPr>
        <w:t xml:space="preserve">    </w:t>
      </w:r>
      <w:r w:rsidR="00AE1BBC" w:rsidRPr="00AE1BBC">
        <w:fldChar w:fldCharType="begin">
          <w:ffData>
            <w:name w:val="__Fieldmark__110_107"/>
            <w:enabled/>
            <w:calcOnExit w:val="0"/>
            <w:textInput/>
          </w:ffData>
        </w:fldChar>
      </w:r>
      <w:r>
        <w:rPr>
          <w:rFonts w:ascii="Cambria" w:hAnsi="Cambria" w:cs="Arial"/>
          <w:b/>
          <w:sz w:val="20"/>
          <w:szCs w:val="20"/>
        </w:rPr>
        <w:instrText>FORMTEXT</w:instrText>
      </w:r>
      <w:r w:rsidR="00AE1BBC">
        <w:fldChar w:fldCharType="separate"/>
      </w:r>
      <w:r w:rsidR="00AE1BBC">
        <w:rPr>
          <w:rFonts w:ascii="Cambria" w:hAnsi="Cambria" w:cs="Arial"/>
          <w:b/>
          <w:sz w:val="20"/>
          <w:szCs w:val="20"/>
        </w:rPr>
        <w:fldChar w:fldCharType="end"/>
      </w:r>
      <w:bookmarkStart w:id="0" w:name="__Fieldmark__110_1075456598"/>
      <w:bookmarkStart w:id="1" w:name="__Fieldmark__74_11409637531"/>
      <w:bookmarkStart w:id="2" w:name="__Fieldmark__74_1140963753"/>
      <w:bookmarkStart w:id="3" w:name="Text51"/>
      <w:bookmarkStart w:id="4" w:name="Text5"/>
      <w:bookmarkStart w:id="5" w:name="__Fieldmark__60_1246738671"/>
      <w:bookmarkStart w:id="6" w:name="__Fieldmark__60_12467386711"/>
      <w:bookmarkStart w:id="7" w:name="__Fieldmark__92_1201359122"/>
      <w:bookmarkStart w:id="8" w:name="__Fieldmark__92_120135912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673F51" w:rsidRDefault="00AE1BBC">
      <w:pPr>
        <w:spacing w:after="0"/>
        <w:ind w:left="852" w:hanging="426"/>
        <w:jc w:val="both"/>
      </w:pPr>
      <w:r w:rsidRPr="00AE1BBC">
        <w:fldChar w:fldCharType="begin">
          <w:ffData>
            <w:name w:val="__Fieldmark__139_107"/>
            <w:enabled/>
            <w:calcOnExit w:val="0"/>
            <w:textInput/>
          </w:ffData>
        </w:fldChar>
      </w:r>
      <w:r w:rsidR="00804320">
        <w:rPr>
          <w:rFonts w:ascii="Cambria" w:hAnsi="Cambria" w:cs="Arial"/>
          <w:b/>
          <w:sz w:val="20"/>
          <w:szCs w:val="20"/>
        </w:rPr>
        <w:instrText>FORMTEXT</w:instrText>
      </w:r>
      <w:r>
        <w:fldChar w:fldCharType="separate"/>
      </w:r>
      <w:r>
        <w:rPr>
          <w:rFonts w:ascii="Cambria" w:hAnsi="Cambria" w:cs="Arial"/>
          <w:b/>
          <w:sz w:val="20"/>
          <w:szCs w:val="20"/>
        </w:rPr>
        <w:fldChar w:fldCharType="end"/>
      </w:r>
      <w:bookmarkStart w:id="9" w:name="__Fieldmark__139_1075456598"/>
      <w:bookmarkStart w:id="10" w:name="__Fieldmark__91_11409637531"/>
      <w:bookmarkStart w:id="11" w:name="__Fieldmark__91_1140963753"/>
      <w:bookmarkStart w:id="12" w:name="Text61"/>
      <w:bookmarkStart w:id="13" w:name="Text6"/>
      <w:bookmarkStart w:id="14" w:name="__Fieldmark__71_1246738671"/>
      <w:bookmarkStart w:id="15" w:name="__Fieldmark__71_12467386711"/>
      <w:bookmarkStart w:id="16" w:name="__Fieldmark__115_1201359122"/>
      <w:bookmarkStart w:id="17" w:name="__Fieldmark__115_12013591221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673F51" w:rsidRDefault="00673F51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73F51" w:rsidRDefault="0080432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proofErr w:type="spellStart"/>
      <w:r>
        <w:rPr>
          <w:rFonts w:ascii="Cambria" w:hAnsi="Cambria" w:cs="Arial"/>
          <w:sz w:val="20"/>
          <w:szCs w:val="20"/>
        </w:rPr>
        <w:t>A.je</w:t>
      </w:r>
      <w:proofErr w:type="spellEnd"/>
      <w:r>
        <w:rPr>
          <w:rFonts w:ascii="Cambria" w:hAnsi="Cambria" w:cs="Arial"/>
          <w:sz w:val="20"/>
          <w:szCs w:val="20"/>
        </w:rPr>
        <w:t xml:space="preserve"> 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alias w:val=""/>
          <w:id w:val="132934641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673F51" w:rsidRDefault="00804320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73F51" w:rsidRDefault="00673F51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673F51" w:rsidRDefault="00804320">
      <w:pPr>
        <w:spacing w:after="0"/>
        <w:ind w:left="852" w:hanging="426"/>
        <w:jc w:val="both"/>
        <w:rPr>
          <w:rFonts w:ascii="Cambria" w:hAnsi="Cambria" w:cs="Arial"/>
        </w:rPr>
      </w:pPr>
      <w:bookmarkStart w:id="18" w:name="__DdeLink__1325_1810541364"/>
      <w:bookmarkEnd w:id="18"/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673F51" w:rsidRDefault="00673F51">
      <w:pPr>
        <w:spacing w:after="0"/>
        <w:ind w:left="852" w:hanging="426"/>
        <w:jc w:val="both"/>
        <w:rPr>
          <w:rFonts w:asciiTheme="majorHAnsi" w:hAnsiTheme="majorHAnsi"/>
          <w:sz w:val="20"/>
          <w:szCs w:val="20"/>
        </w:rPr>
      </w:pPr>
      <w:bookmarkStart w:id="19" w:name="__DdeLink__1325_18105413641"/>
      <w:bookmarkEnd w:id="19"/>
    </w:p>
    <w:p w:rsidR="00673F51" w:rsidRDefault="00673F51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</w:p>
    <w:p w:rsidR="00673F51" w:rsidRDefault="00804320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673F51" w:rsidRDefault="00673F51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88" w:type="dxa"/>
        <w:tblLayout w:type="fixed"/>
        <w:tblCellMar>
          <w:left w:w="88" w:type="dxa"/>
        </w:tblCellMar>
        <w:tblLook w:val="04A0"/>
      </w:tblPr>
      <w:tblGrid>
        <w:gridCol w:w="4253"/>
        <w:gridCol w:w="2381"/>
        <w:gridCol w:w="2381"/>
      </w:tblGrid>
      <w:tr w:rsidR="00673F51">
        <w:tc>
          <w:tcPr>
            <w:tcW w:w="4253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673F51" w:rsidRDefault="008043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673F51" w:rsidRDefault="008043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673F51" w:rsidRDefault="008043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673F51">
        <w:trPr>
          <w:trHeight w:val="378"/>
        </w:trPr>
        <w:tc>
          <w:tcPr>
            <w:tcW w:w="4253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73F51" w:rsidRDefault="00316230" w:rsidP="00316230">
            <w:pPr>
              <w:spacing w:after="0" w:line="240" w:lineRule="auto"/>
              <w:ind w:left="426" w:hanging="426"/>
              <w:jc w:val="both"/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73F51" w:rsidRDefault="00804320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73F51" w:rsidRDefault="00804320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73F51" w:rsidRDefault="00804320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alias w:val=""/>
          <w:id w:val="13293464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</w:p>
    <w:p w:rsidR="00673F51" w:rsidRDefault="00804320">
      <w:pPr>
        <w:spacing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</w:t>
      </w:r>
    </w:p>
    <w:p w:rsidR="00673F51" w:rsidRDefault="00804320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 xml:space="preserve">II. 2 </w:t>
      </w:r>
      <w:r>
        <w:rPr>
          <w:rFonts w:asciiTheme="majorHAnsi" w:eastAsia="MS Gothic" w:hAnsiTheme="majorHAnsi" w:cs="Arial"/>
          <w:b/>
        </w:rPr>
        <w:t xml:space="preserve">Spôsob oceňovania jednotlivých zložiek majetku a záväzkov: </w:t>
      </w:r>
    </w:p>
    <w:tbl>
      <w:tblPr>
        <w:tblStyle w:val="Mriekatabuky"/>
        <w:tblW w:w="8954" w:type="dxa"/>
        <w:tblInd w:w="88" w:type="dxa"/>
        <w:tblLayout w:type="fixed"/>
        <w:tblCellMar>
          <w:left w:w="88" w:type="dxa"/>
        </w:tblCellMar>
        <w:tblLook w:val="04A0"/>
      </w:tblPr>
      <w:tblGrid>
        <w:gridCol w:w="4621"/>
        <w:gridCol w:w="2064"/>
        <w:gridCol w:w="2269"/>
      </w:tblGrid>
      <w:tr w:rsidR="00673F51"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 w:rsidP="00316230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vrátane rezerv, dlhopisov, pôžičiek a úverov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40"/>
        </w:trPr>
        <w:tc>
          <w:tcPr>
            <w:tcW w:w="4621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Derivátové operácie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73F51" w:rsidRDefault="00673F51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673F51" w:rsidRDefault="0080432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II. 3 Spôsob zostavenia odpisového plánu dlhodobého majetku</w:t>
      </w:r>
    </w:p>
    <w:p w:rsidR="00673F51" w:rsidRDefault="00673F51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673F51" w:rsidRDefault="00804320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8954" w:type="dxa"/>
        <w:tblInd w:w="88" w:type="dxa"/>
        <w:tblLayout w:type="fixed"/>
        <w:tblCellMar>
          <w:left w:w="88" w:type="dxa"/>
        </w:tblCellMar>
        <w:tblLook w:val="04A0"/>
      </w:tblPr>
      <w:tblGrid>
        <w:gridCol w:w="2158"/>
        <w:gridCol w:w="2273"/>
        <w:gridCol w:w="2260"/>
        <w:gridCol w:w="2263"/>
      </w:tblGrid>
      <w:tr w:rsidR="00673F51">
        <w:trPr>
          <w:trHeight w:val="397"/>
        </w:trPr>
        <w:tc>
          <w:tcPr>
            <w:tcW w:w="2157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673F51">
        <w:trPr>
          <w:trHeight w:val="397"/>
        </w:trPr>
        <w:tc>
          <w:tcPr>
            <w:tcW w:w="2157" w:type="dxa"/>
            <w:shd w:val="clear" w:color="auto" w:fill="auto"/>
          </w:tcPr>
          <w:p w:rsidR="00673F51" w:rsidRDefault="00316230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automobil</w:t>
            </w:r>
          </w:p>
        </w:tc>
        <w:tc>
          <w:tcPr>
            <w:tcW w:w="2273" w:type="dxa"/>
            <w:shd w:val="clear" w:color="auto" w:fill="auto"/>
          </w:tcPr>
          <w:p w:rsidR="00673F51" w:rsidRDefault="00316230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 roky</w:t>
            </w:r>
          </w:p>
        </w:tc>
        <w:tc>
          <w:tcPr>
            <w:tcW w:w="2260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</w:tcPr>
          <w:p w:rsidR="00673F51" w:rsidRDefault="00316230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rovnomerne</w:t>
            </w:r>
          </w:p>
        </w:tc>
      </w:tr>
      <w:tr w:rsidR="00673F51">
        <w:trPr>
          <w:trHeight w:val="397"/>
        </w:trPr>
        <w:tc>
          <w:tcPr>
            <w:tcW w:w="2157" w:type="dxa"/>
            <w:shd w:val="clear" w:color="auto" w:fill="auto"/>
          </w:tcPr>
          <w:p w:rsidR="00673F51" w:rsidRDefault="00F4105D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motocykel</w:t>
            </w:r>
          </w:p>
        </w:tc>
        <w:tc>
          <w:tcPr>
            <w:tcW w:w="2273" w:type="dxa"/>
            <w:shd w:val="clear" w:color="auto" w:fill="auto"/>
          </w:tcPr>
          <w:p w:rsidR="00673F51" w:rsidRDefault="00F4105D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rokov</w:t>
            </w:r>
          </w:p>
        </w:tc>
        <w:tc>
          <w:tcPr>
            <w:tcW w:w="2260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97"/>
        </w:trPr>
        <w:tc>
          <w:tcPr>
            <w:tcW w:w="2157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97"/>
        </w:trPr>
        <w:tc>
          <w:tcPr>
            <w:tcW w:w="2157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97"/>
        </w:trPr>
        <w:tc>
          <w:tcPr>
            <w:tcW w:w="2157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673F51" w:rsidRDefault="00673F51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673F51" w:rsidRDefault="00673F51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673F51" w:rsidRDefault="00AE1BBC">
      <w:pPr>
        <w:spacing w:after="0" w:line="240" w:lineRule="auto"/>
        <w:jc w:val="both"/>
      </w:pPr>
      <w:sdt>
        <w:sdtPr>
          <w:id w:val="1850155540"/>
        </w:sdtPr>
        <w:sdtContent>
          <w:r w:rsidR="00804320">
            <w:rPr>
              <w:rFonts w:ascii="MS Mincho" w:eastAsia="MS Mincho" w:hAnsi="MS Mincho" w:cs="MS Mincho"/>
              <w:b/>
            </w:rPr>
            <w:t>x</w:t>
          </w:r>
        </w:sdtContent>
      </w:sdt>
      <w:r w:rsidR="00804320">
        <w:rPr>
          <w:rFonts w:asciiTheme="majorHAnsi" w:eastAsia="MS Gothic" w:hAnsiTheme="majorHAnsi" w:cs="Arial"/>
          <w:b/>
        </w:rPr>
        <w:tab/>
      </w:r>
      <w:r w:rsidR="00804320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804320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804320">
        <w:rPr>
          <w:rFonts w:asciiTheme="majorHAnsi" w:eastAsia="MS Gothic" w:hAnsiTheme="majorHAnsi" w:cs="Arial"/>
          <w:sz w:val="20"/>
          <w:szCs w:val="20"/>
        </w:rPr>
        <w:t xml:space="preserve"> zostavený účtovnou jednotkou vychádza z predpokladanej doby použiteľnosti dlhodobého nehmotného majetku a/alebo iných objektívnych predpokladov (uviesť)</w:t>
      </w:r>
      <w:r w:rsidR="00804320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673F51" w:rsidRDefault="00673F51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73F51" w:rsidRDefault="00804320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</w:t>
      </w:r>
      <w:bookmarkStart w:id="20" w:name="__DdeLink__765_1075456598"/>
      <w:r>
        <w:rPr>
          <w:rFonts w:asciiTheme="majorHAnsi" w:eastAsia="MS Gothic" w:hAnsiTheme="majorHAnsi" w:cs="Arial"/>
          <w:b/>
          <w:sz w:val="20"/>
          <w:szCs w:val="20"/>
        </w:rPr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673F51" w:rsidRDefault="00804320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  <w:bookmarkEnd w:id="20"/>
      <w:r>
        <w:rPr>
          <w:rFonts w:asciiTheme="majorHAnsi" w:eastAsia="MS Gothic" w:hAnsiTheme="majorHAnsi" w:cs="Arial"/>
          <w:sz w:val="20"/>
          <w:szCs w:val="20"/>
        </w:rPr>
        <w:t> </w:t>
      </w:r>
    </w:p>
    <w:p w:rsidR="00673F51" w:rsidRDefault="00673F51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73F51" w:rsidRDefault="00673F51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673F51" w:rsidRDefault="00AE1BBC">
      <w:pPr>
        <w:spacing w:after="0" w:line="240" w:lineRule="auto"/>
        <w:jc w:val="both"/>
      </w:pPr>
      <w:sdt>
        <w:sdtPr>
          <w:id w:val="1642710090"/>
        </w:sdtPr>
        <w:sdtContent>
          <w:r w:rsidR="00804320">
            <w:rPr>
              <w:rFonts w:ascii="MS Mincho" w:eastAsia="MS Mincho" w:hAnsi="MS Mincho" w:cs="MS Mincho"/>
              <w:b/>
            </w:rPr>
            <w:t>x</w:t>
          </w:r>
        </w:sdtContent>
      </w:sdt>
      <w:r w:rsidR="00804320">
        <w:rPr>
          <w:rFonts w:asciiTheme="majorHAnsi" w:eastAsia="MS Gothic" w:hAnsiTheme="majorHAnsi" w:cs="Arial"/>
          <w:b/>
        </w:rPr>
        <w:tab/>
      </w:r>
      <w:r w:rsidR="00804320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804320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804320">
        <w:rPr>
          <w:rFonts w:asciiTheme="majorHAnsi" w:eastAsia="MS Gothic" w:hAnsiTheme="majorHAnsi" w:cs="Arial"/>
          <w:sz w:val="20"/>
          <w:szCs w:val="20"/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 w:rsidR="00804320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804320">
        <w:rPr>
          <w:rFonts w:asciiTheme="majorHAnsi" w:eastAsia="MS Gothic" w:hAnsiTheme="majorHAnsi" w:cs="Arial"/>
          <w:sz w:val="20"/>
          <w:szCs w:val="20"/>
        </w:rPr>
        <w:t>. Ročný účtovný odpis sa môže odlišovať od daňového podľa počtu mesiacov od zaradenia majetku do konca roka.</w:t>
      </w:r>
    </w:p>
    <w:p w:rsidR="00673F51" w:rsidRDefault="00673F51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73F51" w:rsidRDefault="00316230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ÚO = DO – podľa počtu mesiacov nadobudnutia</w:t>
      </w:r>
    </w:p>
    <w:p w:rsidR="00673F51" w:rsidRDefault="00804320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>   </w:t>
      </w:r>
    </w:p>
    <w:p w:rsidR="00673F51" w:rsidRDefault="00804320">
      <w:pPr>
        <w:spacing w:after="0" w:line="240" w:lineRule="auto"/>
        <w:ind w:left="426" w:hanging="426"/>
        <w:jc w:val="both"/>
      </w:pPr>
      <w:r>
        <w:rPr>
          <w:rFonts w:asciiTheme="majorHAnsi" w:hAnsiTheme="majorHAnsi" w:cs="Arial"/>
          <w:b/>
        </w:rPr>
        <w:t>II. 4  Zmeny účtovných zásad a metód:</w:t>
      </w:r>
    </w:p>
    <w:p w:rsidR="00673F51" w:rsidRDefault="00673F51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673F51" w:rsidRDefault="00804320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673F51" w:rsidRDefault="00673F51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673F51" w:rsidRDefault="00804320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tbl>
      <w:tblPr>
        <w:tblStyle w:val="Mriekatabuky"/>
        <w:tblW w:w="9015" w:type="dxa"/>
        <w:tblInd w:w="88" w:type="dxa"/>
        <w:tblLayout w:type="fixed"/>
        <w:tblCellMar>
          <w:left w:w="88" w:type="dxa"/>
        </w:tblCellMar>
        <w:tblLook w:val="04A0"/>
      </w:tblPr>
      <w:tblGrid>
        <w:gridCol w:w="2835"/>
        <w:gridCol w:w="2976"/>
        <w:gridCol w:w="3204"/>
      </w:tblGrid>
      <w:tr w:rsidR="00673F51">
        <w:tc>
          <w:tcPr>
            <w:tcW w:w="2835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673F51" w:rsidRDefault="00804320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673F51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Bezo zmeny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73F51">
        <w:trPr>
          <w:trHeight w:val="397"/>
        </w:trPr>
        <w:tc>
          <w:tcPr>
            <w:tcW w:w="2835" w:type="dxa"/>
            <w:shd w:val="clear" w:color="auto" w:fill="auto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73F51">
        <w:trPr>
          <w:trHeight w:val="397"/>
        </w:trPr>
        <w:tc>
          <w:tcPr>
            <w:tcW w:w="2835" w:type="dxa"/>
            <w:shd w:val="clear" w:color="auto" w:fill="auto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73F51">
        <w:trPr>
          <w:trHeight w:val="397"/>
        </w:trPr>
        <w:tc>
          <w:tcPr>
            <w:tcW w:w="2835" w:type="dxa"/>
            <w:shd w:val="clear" w:color="auto" w:fill="auto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73F51">
        <w:trPr>
          <w:trHeight w:val="397"/>
        </w:trPr>
        <w:tc>
          <w:tcPr>
            <w:tcW w:w="2835" w:type="dxa"/>
            <w:shd w:val="clear" w:color="auto" w:fill="auto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73F51">
        <w:trPr>
          <w:trHeight w:val="397"/>
        </w:trPr>
        <w:tc>
          <w:tcPr>
            <w:tcW w:w="2835" w:type="dxa"/>
            <w:shd w:val="clear" w:color="auto" w:fill="auto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673F51" w:rsidRDefault="00673F51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73F51" w:rsidRDefault="00673F51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673F51" w:rsidRDefault="0080432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6 Oprava významných a nevýznamných chýb minulých účtovných období vykonaných v bežnom účtovnom období:</w:t>
      </w:r>
    </w:p>
    <w:p w:rsidR="00673F51" w:rsidRDefault="00673F51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8954" w:type="dxa"/>
        <w:tblInd w:w="88" w:type="dxa"/>
        <w:tblLayout w:type="fixed"/>
        <w:tblCellMar>
          <w:left w:w="88" w:type="dxa"/>
        </w:tblCellMar>
        <w:tblLook w:val="04A0"/>
      </w:tblPr>
      <w:tblGrid>
        <w:gridCol w:w="2925"/>
        <w:gridCol w:w="3007"/>
        <w:gridCol w:w="3022"/>
      </w:tblGrid>
      <w:tr w:rsidR="00673F51">
        <w:trPr>
          <w:trHeight w:val="397"/>
        </w:trPr>
        <w:tc>
          <w:tcPr>
            <w:tcW w:w="2925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07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22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Popis chyby a vplyvu opravy na nerozdelený VH, resp. VH bežného ú. o.</w:t>
            </w:r>
          </w:p>
        </w:tc>
      </w:tr>
      <w:tr w:rsidR="00673F51">
        <w:trPr>
          <w:trHeight w:val="397"/>
        </w:trPr>
        <w:tc>
          <w:tcPr>
            <w:tcW w:w="2925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07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73F51">
        <w:trPr>
          <w:trHeight w:val="397"/>
        </w:trPr>
        <w:tc>
          <w:tcPr>
            <w:tcW w:w="2925" w:type="dxa"/>
            <w:shd w:val="clear" w:color="auto" w:fill="auto"/>
            <w:vAlign w:val="center"/>
          </w:tcPr>
          <w:p w:rsidR="00673F51" w:rsidRDefault="0080432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07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auto"/>
            <w:vAlign w:val="center"/>
          </w:tcPr>
          <w:p w:rsidR="00673F51" w:rsidRDefault="00673F51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673F51" w:rsidRDefault="00673F51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73F51" w:rsidRDefault="00804320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673F51" w:rsidRDefault="00673F5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73F51" w:rsidRDefault="00673F51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73F51" w:rsidRDefault="00804320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 xml:space="preserve">III. 2 </w:t>
      </w:r>
      <w:r>
        <w:rPr>
          <w:rFonts w:asciiTheme="majorHAnsi" w:eastAsia="MS Gothic" w:hAnsiTheme="majorHAnsi" w:cs="Times New Roman"/>
          <w:b/>
        </w:rPr>
        <w:t>Informácie o záväzkoch</w:t>
      </w:r>
    </w:p>
    <w:p w:rsidR="00673F51" w:rsidRDefault="00673F5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73F51" w:rsidRDefault="00673F51">
      <w:pPr>
        <w:spacing w:after="0" w:line="240" w:lineRule="auto"/>
        <w:ind w:left="852" w:hanging="426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73F51" w:rsidRDefault="00804320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673F51" w:rsidRDefault="00804320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</w:rPr>
        <w:lastRenderedPageBreak/>
        <w:t xml:space="preserve">Účtovná jednotka </w:t>
      </w:r>
      <w:r>
        <w:rPr>
          <w:rFonts w:asciiTheme="majorHAnsi" w:eastAsia="MS Gothic" w:hAnsiTheme="majorHAnsi" w:cs="Times New Roman"/>
          <w:b/>
        </w:rPr>
        <w:t>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673F51" w:rsidRDefault="00673F5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73F51" w:rsidRDefault="00804320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c) Hlavné podmienky, na základe ktorých boli záruky alebo iné zabezpečenia </w:t>
      </w:r>
      <w:r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673F51" w:rsidRDefault="00804320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673F51" w:rsidRDefault="00804320">
      <w:pPr>
        <w:spacing w:line="240" w:lineRule="auto"/>
        <w:jc w:val="both"/>
      </w:pPr>
      <w:r>
        <w:rPr>
          <w:rFonts w:asciiTheme="majorHAnsi" w:eastAsia="MS Gothic" w:hAnsiTheme="majorHAnsi" w:cs="Times New Roman"/>
          <w:b/>
        </w:rPr>
        <w:t xml:space="preserve">III. 6 e) Opis významných povinností účtovnej jednotky vyplývajúcich z dôchodkových </w:t>
      </w:r>
      <w:r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673F51" w:rsidRDefault="00804320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</w:t>
      </w:r>
    </w:p>
    <w:p w:rsidR="00673F51" w:rsidRDefault="00804320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673F51" w:rsidRDefault="00673F51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673F51" w:rsidRDefault="00673F5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73F51" w:rsidRDefault="00673F5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73F51" w:rsidRDefault="00673F51">
      <w:pPr>
        <w:spacing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673F51" w:rsidRDefault="00673F51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73F51" w:rsidRDefault="00673F51">
      <w:pPr>
        <w:spacing w:before="240" w:line="240" w:lineRule="auto"/>
        <w:jc w:val="right"/>
      </w:pPr>
    </w:p>
    <w:sectPr w:rsidR="00673F51" w:rsidSect="00673F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363" w:rsidRDefault="009A7363" w:rsidP="00673F51">
      <w:pPr>
        <w:spacing w:after="0" w:line="240" w:lineRule="auto"/>
      </w:pPr>
      <w:r>
        <w:separator/>
      </w:r>
    </w:p>
  </w:endnote>
  <w:endnote w:type="continuationSeparator" w:id="0">
    <w:p w:rsidR="009A7363" w:rsidRDefault="009A7363" w:rsidP="00673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717956118"/>
      <w:docPartObj>
        <w:docPartGallery w:val="Page Numbers (Bottom of Page)"/>
        <w:docPartUnique/>
      </w:docPartObj>
    </w:sdtPr>
    <w:sdtContent>
      <w:p w:rsidR="00673F51" w:rsidRDefault="00AE1BBC">
        <w:pPr>
          <w:pStyle w:val="Footer"/>
          <w:jc w:val="right"/>
        </w:pPr>
        <w:r>
          <w:fldChar w:fldCharType="begin"/>
        </w:r>
        <w:r w:rsidR="00804320">
          <w:instrText>PAGE</w:instrText>
        </w:r>
        <w:r>
          <w:fldChar w:fldCharType="separate"/>
        </w:r>
        <w:r w:rsidR="00F4105D">
          <w:rPr>
            <w:noProof/>
          </w:rPr>
          <w:t>4</w:t>
        </w:r>
        <w:r>
          <w:fldChar w:fldCharType="end"/>
        </w:r>
      </w:p>
    </w:sdtContent>
  </w:sdt>
  <w:p w:rsidR="00673F51" w:rsidRDefault="00673F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363" w:rsidRDefault="009A7363" w:rsidP="00673F51">
      <w:pPr>
        <w:spacing w:after="0" w:line="240" w:lineRule="auto"/>
      </w:pPr>
      <w:r>
        <w:separator/>
      </w:r>
    </w:p>
  </w:footnote>
  <w:footnote w:type="continuationSeparator" w:id="0">
    <w:p w:rsidR="009A7363" w:rsidRDefault="009A7363" w:rsidP="00673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51" w:rsidRDefault="00673F51">
    <w:pPr>
      <w:pStyle w:val="Header"/>
      <w:rPr>
        <w:rFonts w:asciiTheme="majorHAnsi" w:hAnsiTheme="majorHAnsi"/>
      </w:rPr>
    </w:pPr>
  </w:p>
  <w:p w:rsidR="00673F51" w:rsidRDefault="00804320">
    <w:pPr>
      <w:pStyle w:val="Header"/>
      <w:jc w:val="right"/>
      <w:rPr>
        <w:color w:val="365F91" w:themeColor="accent1" w:themeShade="BF"/>
        <w:sz w:val="36"/>
        <w:szCs w:val="36"/>
      </w:rPr>
    </w:pPr>
    <w:r>
      <w:rPr>
        <w:rFonts w:asciiTheme="majorHAnsi" w:hAnsiTheme="majorHAnsi"/>
        <w:sz w:val="36"/>
        <w:szCs w:val="36"/>
      </w:rPr>
      <w:t xml:space="preserve">Poznámky </w:t>
    </w:r>
    <w:proofErr w:type="spellStart"/>
    <w:r>
      <w:rPr>
        <w:rFonts w:asciiTheme="majorHAnsi" w:hAnsiTheme="majorHAnsi"/>
        <w:sz w:val="36"/>
        <w:szCs w:val="36"/>
      </w:rPr>
      <w:t>Úč</w:t>
    </w:r>
    <w:proofErr w:type="spellEnd"/>
    <w:r>
      <w:rPr>
        <w:rFonts w:asciiTheme="majorHAnsi" w:hAnsiTheme="majorHAnsi"/>
        <w:sz w:val="36"/>
        <w:szCs w:val="36"/>
      </w:rPr>
      <w:t xml:space="preserve"> MÚJ 3 - 01</w:t>
    </w:r>
  </w:p>
  <w:p w:rsidR="00673F51" w:rsidRDefault="00673F51">
    <w:pPr>
      <w:pStyle w:val="Header"/>
      <w:rPr>
        <w:rFonts w:asciiTheme="majorHAnsi" w:hAnsiTheme="majorHAnsi"/>
      </w:rPr>
    </w:pPr>
  </w:p>
  <w:p w:rsidR="00673F51" w:rsidRDefault="00673F51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Layout w:type="fixed"/>
      <w:tblCellMar>
        <w:left w:w="88" w:type="dxa"/>
      </w:tblCellMar>
      <w:tblLook w:val="04A0"/>
    </w:tblPr>
    <w:tblGrid>
      <w:gridCol w:w="588"/>
      <w:gridCol w:w="308"/>
      <w:gridCol w:w="308"/>
      <w:gridCol w:w="308"/>
      <w:gridCol w:w="308"/>
      <w:gridCol w:w="308"/>
      <w:gridCol w:w="307"/>
      <w:gridCol w:w="306"/>
      <w:gridCol w:w="308"/>
      <w:gridCol w:w="502"/>
      <w:gridCol w:w="589"/>
      <w:gridCol w:w="308"/>
      <w:gridCol w:w="306"/>
      <w:gridCol w:w="307"/>
      <w:gridCol w:w="308"/>
      <w:gridCol w:w="308"/>
      <w:gridCol w:w="308"/>
      <w:gridCol w:w="308"/>
      <w:gridCol w:w="307"/>
      <w:gridCol w:w="306"/>
      <w:gridCol w:w="306"/>
    </w:tblGrid>
    <w:tr w:rsidR="00673F51">
      <w:trPr>
        <w:trHeight w:val="340"/>
        <w:jc w:val="right"/>
      </w:trPr>
      <w:tc>
        <w:tcPr>
          <w:tcW w:w="587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07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4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7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1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0</w:t>
          </w:r>
        </w:p>
      </w:tc>
      <w:tc>
        <w:tcPr>
          <w:tcW w:w="307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06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502" w:type="dxa"/>
          <w:tcBorders>
            <w:top w:val="nil"/>
            <w:bottom w:val="nil"/>
          </w:tcBorders>
          <w:shd w:val="clear" w:color="auto" w:fill="auto"/>
          <w:vAlign w:val="center"/>
        </w:tcPr>
        <w:p w:rsidR="00673F51" w:rsidRDefault="00673F5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589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06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07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2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8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t>0</w:t>
          </w:r>
        </w:p>
      </w:tc>
      <w:tc>
        <w:tcPr>
          <w:tcW w:w="308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07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06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06" w:type="dxa"/>
          <w:shd w:val="clear" w:color="auto" w:fill="auto"/>
          <w:vAlign w:val="center"/>
        </w:tcPr>
        <w:p w:rsidR="00673F51" w:rsidRDefault="0080432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</w:tr>
  </w:tbl>
  <w:p w:rsidR="00673F51" w:rsidRDefault="00673F51">
    <w:pPr>
      <w:pStyle w:val="Header"/>
      <w:rPr>
        <w:rFonts w:asciiTheme="majorHAnsi" w:hAnsiTheme="majorHAnsi"/>
      </w:rPr>
    </w:pPr>
  </w:p>
  <w:p w:rsidR="00673F51" w:rsidRDefault="00673F51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A1E80"/>
    <w:multiLevelType w:val="multilevel"/>
    <w:tmpl w:val="AEEAD67E"/>
    <w:lvl w:ilvl="0">
      <w:start w:val="2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FB84AEB"/>
    <w:multiLevelType w:val="multilevel"/>
    <w:tmpl w:val="98CEAE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454755E"/>
    <w:multiLevelType w:val="multilevel"/>
    <w:tmpl w:val="A26EDE92"/>
    <w:lvl w:ilvl="0">
      <w:start w:val="1"/>
      <w:numFmt w:val="lowerLetter"/>
      <w:lvlText w:val="%1)"/>
      <w:lvlJc w:val="left"/>
      <w:pPr>
        <w:tabs>
          <w:tab w:val="num" w:pos="0"/>
        </w:tabs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39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7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3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3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F51"/>
    <w:rsid w:val="00246F2E"/>
    <w:rsid w:val="002D7DB7"/>
    <w:rsid w:val="00316230"/>
    <w:rsid w:val="005D4E47"/>
    <w:rsid w:val="00673F51"/>
    <w:rsid w:val="00804320"/>
    <w:rsid w:val="009A7363"/>
    <w:rsid w:val="00AE1BBC"/>
    <w:rsid w:val="00F4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uiPriority w:val="99"/>
    <w:qFormat/>
    <w:rsid w:val="00F0301D"/>
  </w:style>
  <w:style w:type="character" w:customStyle="1" w:styleId="FooterChar">
    <w:name w:val="Footer Char"/>
    <w:basedOn w:val="Predvolenpsmoodseku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HlavikaChar">
    <w:name w:val="Hlavička Char"/>
    <w:basedOn w:val="Predvolenpsmoodseku"/>
    <w:link w:val="Header"/>
    <w:uiPriority w:val="99"/>
    <w:semiHidden/>
    <w:qFormat/>
    <w:rsid w:val="003F55E4"/>
    <w:rPr>
      <w:color w:val="00000A"/>
      <w:sz w:val="22"/>
    </w:rPr>
  </w:style>
  <w:style w:type="character" w:customStyle="1" w:styleId="PtaChar">
    <w:name w:val="Päta Char"/>
    <w:basedOn w:val="Predvolenpsmoodseku"/>
    <w:link w:val="Footer"/>
    <w:uiPriority w:val="99"/>
    <w:semiHidden/>
    <w:qFormat/>
    <w:rsid w:val="003F55E4"/>
    <w:rPr>
      <w:color w:val="00000A"/>
      <w:sz w:val="22"/>
    </w:rPr>
  </w:style>
  <w:style w:type="paragraph" w:customStyle="1" w:styleId="Nadpis">
    <w:name w:val="Nadpis"/>
    <w:basedOn w:val="Normlny"/>
    <w:next w:val="Zkladntext"/>
    <w:qFormat/>
    <w:rsid w:val="005B14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5B1426"/>
    <w:pPr>
      <w:spacing w:after="140" w:line="288" w:lineRule="auto"/>
    </w:pPr>
  </w:style>
  <w:style w:type="paragraph" w:styleId="Zoznam">
    <w:name w:val="List"/>
    <w:basedOn w:val="Zkladntext"/>
    <w:rsid w:val="005B1426"/>
    <w:rPr>
      <w:rFonts w:cs="Arial"/>
    </w:rPr>
  </w:style>
  <w:style w:type="paragraph" w:customStyle="1" w:styleId="Caption">
    <w:name w:val="Caption"/>
    <w:basedOn w:val="Normlny"/>
    <w:qFormat/>
    <w:rsid w:val="005B142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5B1426"/>
    <w:pPr>
      <w:suppressLineNumbers/>
    </w:pPr>
    <w:rPr>
      <w:rFonts w:cs="Arial"/>
    </w:rPr>
  </w:style>
  <w:style w:type="paragraph" w:customStyle="1" w:styleId="Hlavikaapta">
    <w:name w:val="Hlavička a päta"/>
    <w:basedOn w:val="Normlny"/>
    <w:qFormat/>
    <w:rsid w:val="00673F51"/>
  </w:style>
  <w:style w:type="paragraph" w:customStyle="1" w:styleId="Header">
    <w:name w:val="Header"/>
    <w:basedOn w:val="Normlny"/>
    <w:link w:val="HlavikaChar"/>
    <w:uiPriority w:val="99"/>
    <w:semiHidden/>
    <w:unhideWhenUsed/>
    <w:rsid w:val="003F55E4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PtaChar"/>
    <w:uiPriority w:val="99"/>
    <w:semiHidden/>
    <w:unhideWhenUsed/>
    <w:rsid w:val="003F55E4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rFonts w:ascii="Calibri" w:eastAsia="Calibri" w:hAnsi="Calibri"/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A4E0C-F126-4E8E-BF64-62F439B8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18</cp:revision>
  <cp:lastPrinted>2023-03-21T23:38:00Z</cp:lastPrinted>
  <dcterms:created xsi:type="dcterms:W3CDTF">2019-01-31T08:15:00Z</dcterms:created>
  <dcterms:modified xsi:type="dcterms:W3CDTF">2024-05-27T12:02:00Z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