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30F09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30F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KODR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30F09" w:rsidRPr="00A55E63" w:rsidRDefault="00230F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36478024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30F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Huncovská 15,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30F0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0,75</w:t>
            </w:r>
          </w:p>
        </w:tc>
        <w:tc>
          <w:tcPr>
            <w:tcW w:w="3342" w:type="dxa"/>
          </w:tcPr>
          <w:p w:rsidR="002D7E6D" w:rsidRPr="00A55E63" w:rsidRDefault="00230F0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</w:t>
      </w:r>
      <w:r w:rsidR="00230F09">
        <w:rPr>
          <w:rFonts w:ascii="Arial" w:hAnsi="Arial" w:cs="Arial"/>
          <w:sz w:val="22"/>
          <w:szCs w:val="22"/>
        </w:rPr>
        <w:t xml:space="preserve">. </w:t>
      </w:r>
      <w:proofErr w:type="spellStart"/>
      <w:r w:rsidR="00230F09">
        <w:rPr>
          <w:rFonts w:ascii="Arial" w:hAnsi="Arial" w:cs="Arial"/>
          <w:sz w:val="22"/>
          <w:szCs w:val="22"/>
        </w:rPr>
        <w:t>Kedže</w:t>
      </w:r>
      <w:proofErr w:type="spellEnd"/>
      <w:r w:rsidR="00230F09">
        <w:rPr>
          <w:rFonts w:ascii="Arial" w:hAnsi="Arial" w:cs="Arial"/>
          <w:sz w:val="22"/>
          <w:szCs w:val="22"/>
        </w:rPr>
        <w:t xml:space="preserve"> konateľka a majiteľka spoločnosti MUDr. Alexandra Kovalčíková v septembri 2023 zomrela, ekonomická činnosť týmto v roku 2023 skončila, v roku 2023 prebiehalo dedičské konanie, pričom dedičmi sa stali deti zomrelej Barbora Kovalčíková a Pavol Kovalčík. Či bude účtovná jednotka pokračovať vo svojej činnosti nie je v súčasnej dobe jasné.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230F0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odpisovala dlhodobý majetok v súlade s odpisovým plánom, účtovné a daňové odpisy sa rovnali.</w:t>
      </w:r>
    </w:p>
    <w:p w:rsidR="00230F09" w:rsidRPr="00A55E63" w:rsidRDefault="00230F0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230F09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230F09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</w:t>
      </w:r>
      <w:r w:rsidR="00230F09">
        <w:rPr>
          <w:rFonts w:ascii="Arial" w:hAnsi="Arial" w:cs="Arial"/>
        </w:rPr>
        <w:t xml:space="preserve"> významných </w:t>
      </w:r>
      <w:r>
        <w:rPr>
          <w:rFonts w:ascii="Arial" w:hAnsi="Arial" w:cs="Arial"/>
        </w:rPr>
        <w:t>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230F09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230F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ku koncu roka 2023 neevidovala záväzky so zostatkovou dobou splatnosti dlhšou ako 5 rokov a ani neevidovala zabezpečené záväzky.</w:t>
      </w:r>
    </w:p>
    <w:p w:rsidR="00230F09" w:rsidRPr="00A55E63" w:rsidRDefault="00230F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7FAD" w:rsidRDefault="00C47FAD">
      <w:r>
        <w:separator/>
      </w:r>
    </w:p>
  </w:endnote>
  <w:endnote w:type="continuationSeparator" w:id="0">
    <w:p w:rsidR="00C47FAD" w:rsidRDefault="00C47F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17192">
    <w:pPr>
      <w:spacing w:line="200" w:lineRule="exact"/>
      <w:rPr>
        <w:sz w:val="20"/>
        <w:szCs w:val="20"/>
      </w:rPr>
    </w:pPr>
    <w:r w:rsidRPr="0061719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1719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17192">
                  <w:fldChar w:fldCharType="separate"/>
                </w:r>
                <w:r w:rsidR="00230F09">
                  <w:rPr>
                    <w:rFonts w:cs="Times New Roman"/>
                    <w:noProof/>
                  </w:rPr>
                  <w:t>3</w:t>
                </w:r>
                <w:r w:rsidR="0061719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7FAD" w:rsidRDefault="00C47FAD">
      <w:r>
        <w:separator/>
      </w:r>
    </w:p>
  </w:footnote>
  <w:footnote w:type="continuationSeparator" w:id="0">
    <w:p w:rsidR="00C47FAD" w:rsidRDefault="00C47FA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30F09">
      <w:rPr>
        <w:rFonts w:ascii="Arial" w:hAnsi="Arial" w:cs="Arial"/>
        <w:sz w:val="22"/>
        <w:szCs w:val="22"/>
        <w:bdr w:val="single" w:sz="4" w:space="0" w:color="auto"/>
      </w:rPr>
      <w:t>36478024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30F09">
      <w:rPr>
        <w:rFonts w:ascii="Arial" w:hAnsi="Arial" w:cs="Arial"/>
        <w:sz w:val="22"/>
        <w:szCs w:val="22"/>
        <w:bdr w:val="single" w:sz="4" w:space="0" w:color="auto"/>
      </w:rPr>
      <w:t>202162730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30F09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17192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47FAD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1172</Words>
  <Characters>6681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2024-06-03T16:41:00Z</cp:lastPrinted>
  <dcterms:created xsi:type="dcterms:W3CDTF">2024-06-03T16:42:00Z</dcterms:created>
  <dcterms:modified xsi:type="dcterms:W3CDTF">2024-06-03T16:42:00Z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