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before="0" w:after="120"/>
        <w:jc w:val="center"/>
        <w:rPr/>
      </w:pPr>
      <w:r>
        <w:rPr>
          <w:rFonts w:cs="Arial Narrow" w:ascii="Arial Narrow" w:hAnsi="Arial Narrow"/>
          <w:b/>
        </w:rPr>
        <w:t>POZNÁMKY K ÚČTOVNEJ ZÁVIERKE 202</w:t>
      </w:r>
      <w:r>
        <w:rPr>
          <w:rFonts w:cs="Arial Narrow" w:ascii="Arial Narrow" w:hAnsi="Arial Narrow"/>
          <w:b/>
        </w:rPr>
        <w:t>3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b/>
          <w:sz w:val="22"/>
          <w:szCs w:val="22"/>
        </w:rPr>
        <w:t>pre malé účtovné jednotky</w:t>
      </w:r>
      <w:r>
        <w:rPr>
          <w:rFonts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 Narrow" w:ascii="Arial Narrow" w:hAnsi="Arial Narrow"/>
          <w:b/>
          <w:sz w:val="22"/>
          <w:szCs w:val="22"/>
          <w:u w:val="single"/>
        </w:rPr>
        <w:t>Článok I – VŠEOBECNÉ INFORMÁCIE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rPr/>
      </w:pPr>
      <w:r>
        <w:rPr>
          <w:rFonts w:cs="Arial Narrow" w:ascii="Arial Narrow" w:hAnsi="Arial Narrow"/>
          <w:sz w:val="22"/>
          <w:szCs w:val="22"/>
        </w:rPr>
        <w:t xml:space="preserve">1) </w:t>
      </w:r>
      <w:r>
        <w:rPr>
          <w:rFonts w:cs="Arial Narrow" w:ascii="Arial Narrow" w:hAnsi="Arial Narrow"/>
          <w:sz w:val="22"/>
          <w:szCs w:val="22"/>
          <w:u w:val="single"/>
        </w:rPr>
        <w:t>Základné informácie o účtovnej jednotke</w:t>
      </w:r>
      <w:r>
        <w:rPr>
          <w:rFonts w:cs="Arial Narrow" w:ascii="Arial Narrow" w:hAnsi="Arial Narrow"/>
          <w:sz w:val="22"/>
          <w:szCs w:val="22"/>
        </w:rPr>
        <w:t>: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tbl>
      <w:tblPr>
        <w:tblW w:w="9746" w:type="dxa"/>
        <w:jc w:val="left"/>
        <w:tblInd w:w="-173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636"/>
        <w:gridCol w:w="7020"/>
        <w:gridCol w:w="50"/>
        <w:gridCol w:w="39"/>
      </w:tblGrid>
      <w:tr>
        <w:trPr>
          <w:trHeight w:val="231" w:hRule="atLeast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Obchodné meno: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OREA-LB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, s.r.o.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Sídlo: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Ďurka Langsfelda 162/3</w:t>
            </w:r>
            <w:r>
              <w:rPr>
                <w:rFonts w:cs="Arial Narrow" w:ascii="Arial Narrow" w:hAnsi="Arial Narrow"/>
                <w:sz w:val="22"/>
                <w:szCs w:val="22"/>
              </w:rPr>
              <w:t xml:space="preserve">, </w:t>
            </w: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Sučany 038 52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25" w:hRule="atLeast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Právna forma: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3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Dátum vzniku: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Zápis do obchodného registra: 02.12.2011</w:t>
            </w:r>
          </w:p>
        </w:tc>
      </w:tr>
      <w:tr>
        <w:trPr>
          <w:trHeight w:val="175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Hlavný predmet podnikania: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pohostinská činnosť a výroba hotových jedál pre výdajne</w:t>
            </w:r>
          </w:p>
        </w:tc>
      </w:tr>
      <w:tr>
        <w:trPr>
          <w:trHeight w:val="194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Subjekt verejného záujmu: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Spoločnosť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OREA-LB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, s.r.o.</w:t>
            </w:r>
            <w:r>
              <w:rPr>
                <w:rFonts w:cs="Arial Narrow" w:ascii="Arial Narrow" w:hAnsi="Arial Narrow"/>
                <w:sz w:val="22"/>
                <w:szCs w:val="22"/>
              </w:rPr>
              <w:t>nie je subjektom verejného záujmu (§ 2/14 ZoU).</w:t>
            </w:r>
          </w:p>
        </w:tc>
      </w:tr>
      <w:tr>
        <w:trPr>
          <w:trHeight w:val="194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Účtovné obdobie: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Kalendárny rok 202</w:t>
            </w:r>
            <w:r>
              <w:rPr>
                <w:rFonts w:cs="Arial Narrow" w:ascii="Arial Narrow" w:hAnsi="Arial Narrow"/>
                <w:sz w:val="22"/>
                <w:szCs w:val="22"/>
              </w:rPr>
              <w:t>3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25"/>
        <w:jc w:val="both"/>
        <w:rPr/>
      </w:pPr>
      <w:r>
        <w:rPr>
          <w:rFonts w:cs="Arial Narrow" w:ascii="Arial Narrow" w:hAnsi="Arial Narrow"/>
          <w:bCs/>
          <w:sz w:val="22"/>
          <w:szCs w:val="22"/>
          <w:u w:val="single"/>
        </w:rPr>
        <w:t>Test veľkostnej skupiny účtovnej jednotky (2 ZoU)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>
      <w:pPr>
        <w:pStyle w:val="Normal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tbl>
      <w:tblPr>
        <w:tblW w:w="9638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197"/>
        <w:gridCol w:w="2834"/>
        <w:gridCol w:w="3260"/>
        <w:gridCol w:w="1346"/>
      </w:tblGrid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Áno/Nie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  <w:t>1</w:t>
            </w:r>
            <w:r>
              <w:rPr/>
              <w:t>66295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124750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488447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275490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</w:t>
            </w: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NIE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Komentár:</w:t>
      </w:r>
      <w:r>
        <w:rPr>
          <w:rFonts w:cs="Arial Narrow" w:ascii="Arial Narrow" w:hAnsi="Arial Narrow"/>
          <w:sz w:val="22"/>
          <w:szCs w:val="22"/>
        </w:rPr>
        <w:t xml:space="preserve"> UJ spĺňa veľkostné podmienky na zatriedenie do veľkostnej skupiny – </w:t>
      </w:r>
      <w:r>
        <w:rPr>
          <w:rFonts w:cs="Arial Narrow" w:ascii="Arial Narrow" w:hAnsi="Arial Narrow"/>
          <w:b/>
          <w:sz w:val="22"/>
          <w:szCs w:val="22"/>
        </w:rPr>
        <w:t xml:space="preserve">malá účtovná jednotka, </w:t>
      </w:r>
      <w:r>
        <w:rPr>
          <w:rFonts w:cs="Arial Narrow" w:ascii="Arial Narrow" w:hAnsi="Arial Narrow"/>
          <w:sz w:val="22"/>
          <w:szCs w:val="22"/>
        </w:rPr>
        <w:t>preto zostavuje účtovnú závierku podľa metodiky pre túto veľkostnú skupinu (Opatrenie č.MF/23378/2014-74).</w:t>
      </w:r>
    </w:p>
    <w:p>
      <w:pPr>
        <w:pStyle w:val="Normal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</w:rPr>
        <w:t>Dátum schválenia účtovnej závierky</w:t>
      </w:r>
      <w:r>
        <w:rPr>
          <w:rFonts w:cs="Arial Narrow" w:ascii="Arial Narrow" w:hAnsi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eastAsia="Arial Narrow" w:cs="Arial Narrow" w:ascii="Arial Narrow" w:hAnsi="Arial Narrow"/>
          <w:sz w:val="22"/>
          <w:szCs w:val="22"/>
        </w:rPr>
        <w:t xml:space="preserve">  </w:t>
      </w:r>
      <w:r>
        <w:rPr>
          <w:rFonts w:eastAsia="Arial Narrow" w:cs="Arial Narrow" w:ascii="Arial Narrow" w:hAnsi="Arial Narrow"/>
          <w:sz w:val="22"/>
          <w:szCs w:val="22"/>
        </w:rPr>
        <w:t>13.6.2023</w:t>
      </w:r>
    </w:p>
    <w:p>
      <w:pPr>
        <w:pStyle w:val="Normal"/>
        <w:ind w:right="-468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</w:rPr>
        <w:t>Právny dôvod</w:t>
      </w:r>
      <w:r>
        <w:rPr>
          <w:rFonts w:cs="Arial Narrow" w:ascii="Arial Narrow" w:hAnsi="Arial Narrow"/>
          <w:sz w:val="22"/>
          <w:szCs w:val="22"/>
        </w:rPr>
        <w:t xml:space="preserve"> na zostavenie účtovnej závierky: riadna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4) </w:t>
      </w:r>
      <w:r>
        <w:rPr>
          <w:rFonts w:cs="Arial Narrow" w:ascii="Arial Narrow" w:hAnsi="Arial Narrow"/>
          <w:bCs/>
          <w:sz w:val="22"/>
          <w:szCs w:val="22"/>
          <w:u w:val="single"/>
        </w:rPr>
        <w:t>Údaje o skupine</w:t>
      </w:r>
      <w:r>
        <w:rPr>
          <w:rFonts w:cs="Arial Narrow" w:ascii="Arial Narrow" w:hAnsi="Arial Narrow"/>
          <w:bCs/>
          <w:sz w:val="22"/>
          <w:szCs w:val="22"/>
        </w:rPr>
        <w:t xml:space="preserve"> účtovných jednotiek v súvislosti s konsolidáciou: </w:t>
      </w:r>
      <w:r>
        <w:rPr>
          <w:rFonts w:cs="Arial Narrow" w:ascii="Arial Narrow" w:hAnsi="Arial Narrow"/>
          <w:b/>
          <w:bCs/>
          <w:sz w:val="22"/>
          <w:szCs w:val="22"/>
        </w:rPr>
        <w:t>spoločnosť nie je súčasťou konsolidácie</w:t>
      </w:r>
    </w:p>
    <w:p>
      <w:pPr>
        <w:pStyle w:val="Normal"/>
        <w:ind w:left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</w:t>
      </w:r>
      <w:r>
        <w:rPr>
          <w:rFonts w:cs="Arial Narrow" w:ascii="Arial Narrow" w:hAnsi="Arial Narrow"/>
          <w:sz w:val="22"/>
          <w:szCs w:val="22"/>
          <w:u w:val="single"/>
        </w:rPr>
        <w:t>Priemerný prepočítaný počet zamestnancov účtovnej jednotky</w:t>
      </w:r>
      <w:r>
        <w:rPr>
          <w:rFonts w:cs="Arial Narrow" w:ascii="Arial Narrow" w:hAnsi="Arial Narrow"/>
          <w:sz w:val="22"/>
          <w:szCs w:val="22"/>
        </w:rPr>
        <w:t>:</w:t>
      </w:r>
    </w:p>
    <w:tbl>
      <w:tblPr>
        <w:tblW w:w="9818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57"/>
        <w:gridCol w:w="2524"/>
        <w:gridCol w:w="2437"/>
      </w:tblGrid>
      <w:tr>
        <w:trPr>
          <w:trHeight w:val="537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459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163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1</w:t>
            </w:r>
            <w:r>
              <w:rPr>
                <w:rFonts w:cs="Arial Narrow"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12</w:t>
            </w:r>
          </w:p>
        </w:tc>
      </w:tr>
    </w:tbl>
    <w:p>
      <w:pPr>
        <w:pStyle w:val="Normal"/>
        <w:ind w:left="928"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II – INFORMÁCIE O ORGÁNOCH SPOLOČNOSTI</w:t>
      </w:r>
    </w:p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cs="Arial Narrow" w:ascii="Arial Narrow" w:hAnsi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tbl>
      <w:tblPr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311"/>
        <w:gridCol w:w="1702"/>
        <w:gridCol w:w="1771"/>
      </w:tblGrid>
      <w:tr>
        <w:trPr>
          <w:trHeight w:val="780" w:hRule="atLeast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Orgány účtovnej jednotky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67" w:hRule="atLeast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44" w:hRule="atLeast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141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III – INFORMÁCIE O PRIJATÝCH POSTUPOCH</w:t>
      </w:r>
    </w:p>
    <w:p>
      <w:pPr>
        <w:pStyle w:val="Normal"/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cs="Arial Narrow" w:ascii="Arial Narrow" w:hAnsi="Arial Narrow"/>
          <w:b/>
          <w:sz w:val="22"/>
          <w:szCs w:val="22"/>
        </w:rPr>
        <w:t>nepretržite pokračovať</w:t>
      </w:r>
      <w:r>
        <w:rPr>
          <w:rFonts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Ú</w:t>
      </w:r>
      <w:r>
        <w:rPr>
          <w:rFonts w:eastAsia="Arial Narrow" w:cs="Arial Narrow" w:ascii="Arial Narrow" w:hAnsi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eastAsia="Arial Narrow" w:cs="Arial Narrow" w:ascii="Arial Narrow" w:hAnsi="Arial Narrow"/>
          <w:b/>
          <w:sz w:val="22"/>
          <w:szCs w:val="22"/>
        </w:rPr>
        <w:t>nepretržite pokračovať</w:t>
      </w:r>
      <w:r>
        <w:rPr>
          <w:rFonts w:eastAsia="Arial Narrow"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</w:t>
      </w:r>
    </w:p>
    <w:p>
      <w:pPr>
        <w:pStyle w:val="Normal"/>
        <w:ind w:right="-141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cs="Arial Narrow" w:ascii="Arial Narrow" w:hAnsi="Arial Narrow"/>
          <w:b/>
          <w:sz w:val="22"/>
          <w:szCs w:val="22"/>
        </w:rPr>
        <w:t>o zmenách účtovných zásad a zmenách účtovných metód</w:t>
      </w:r>
      <w:r>
        <w:rPr>
          <w:rFonts w:cs="Arial Narrow" w:ascii="Arial Narrow" w:hAnsi="Arial Narrow"/>
          <w:sz w:val="22"/>
          <w:szCs w:val="22"/>
        </w:rPr>
        <w:t xml:space="preserve">, a to s uvedením </w:t>
      </w:r>
      <w:r>
        <w:rPr>
          <w:rFonts w:cs="Arial Narrow" w:ascii="Arial Narrow" w:hAnsi="Arial Narrow"/>
          <w:sz w:val="22"/>
          <w:szCs w:val="22"/>
          <w:u w:val="single"/>
        </w:rPr>
        <w:t>dôvodu</w:t>
      </w:r>
      <w:r>
        <w:rPr>
          <w:rFonts w:cs="Arial Narrow" w:ascii="Arial Narrow" w:hAnsi="Arial Narrow"/>
          <w:sz w:val="22"/>
          <w:szCs w:val="22"/>
        </w:rPr>
        <w:t xml:space="preserve"> ich uplatnenia a ich </w:t>
      </w:r>
      <w:r>
        <w:rPr>
          <w:rFonts w:cs="Arial Narrow" w:ascii="Arial Narrow" w:hAnsi="Arial Narrow"/>
          <w:sz w:val="22"/>
          <w:szCs w:val="22"/>
          <w:u w:val="single"/>
        </w:rPr>
        <w:t>vplyvu na hodnotu</w:t>
      </w:r>
      <w:r>
        <w:rPr>
          <w:rFonts w:cs="Arial Narrow" w:ascii="Arial Narrow" w:hAnsi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Informácie o charaktere a účele </w:t>
      </w:r>
      <w:r>
        <w:rPr>
          <w:rFonts w:cs="Arial Narrow" w:ascii="Arial Narrow" w:hAnsi="Arial Narrow"/>
          <w:b/>
          <w:sz w:val="22"/>
          <w:szCs w:val="22"/>
        </w:rPr>
        <w:t>transakcií, ktoré sa neuvádzajú v súvahe</w:t>
      </w:r>
      <w:r>
        <w:rPr>
          <w:rFonts w:cs="Arial Narrow" w:ascii="Arial Narrow" w:hAnsi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cs="Arial Narrow" w:ascii="Arial Narrow" w:hAnsi="Arial Narrow"/>
          <w:sz w:val="22"/>
          <w:szCs w:val="22"/>
          <w:u w:val="single"/>
        </w:rPr>
        <w:t>riziká alebo prínosy</w:t>
      </w:r>
      <w:r>
        <w:rPr>
          <w:rFonts w:cs="Arial Narrow" w:ascii="Arial Narrow" w:hAnsi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cs="Arial Narrow" w:ascii="Arial Narrow" w:hAnsi="Arial Narrow"/>
          <w:b/>
          <w:sz w:val="22"/>
          <w:szCs w:val="22"/>
        </w:rPr>
        <w:t>Po dni účtovnej závierky nenastali udalosti, ktoré by menili údaje v účtovnej závierke 202</w:t>
      </w:r>
      <w:r>
        <w:rPr>
          <w:rFonts w:cs="Arial Narrow" w:ascii="Arial Narrow" w:hAnsi="Arial Narrow"/>
          <w:b/>
          <w:sz w:val="22"/>
          <w:szCs w:val="22"/>
        </w:rPr>
        <w:t>3</w:t>
      </w:r>
      <w:r>
        <w:rPr>
          <w:rFonts w:cs="Arial Narrow" w:ascii="Arial Narrow" w:hAnsi="Arial Narrow"/>
          <w:b/>
          <w:sz w:val="22"/>
          <w:szCs w:val="22"/>
        </w:rPr>
        <w:t>.</w:t>
      </w:r>
    </w:p>
    <w:p>
      <w:pPr>
        <w:pStyle w:val="Normal"/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b/>
          <w:sz w:val="22"/>
          <w:szCs w:val="22"/>
        </w:rPr>
        <w:t>Spôsob a určenie oceňovania</w:t>
      </w:r>
      <w:r>
        <w:rPr>
          <w:rFonts w:cs="Arial Narrow" w:ascii="Arial Narrow" w:hAnsi="Arial Narrow"/>
          <w:sz w:val="22"/>
          <w:szCs w:val="22"/>
        </w:rPr>
        <w:t xml:space="preserve"> majetku a záväzkov (vrátane rozhodujúcich odhadov):</w:t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>a) Spôsob oceňovania majetku a záväzkov (§ 25 ZoU):</w:t>
      </w:r>
    </w:p>
    <w:p>
      <w:pPr>
        <w:pStyle w:val="BodyText"/>
        <w:tabs>
          <w:tab w:val="clear" w:pos="113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76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6"/>
        <w:gridCol w:w="5299"/>
        <w:gridCol w:w="3671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Dlhodobý 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hmotný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snapToGrid w:val="false"/>
              <w:ind w:hanging="0"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cs="Arial Narrow" w:ascii="Arial Narrow" w:hAnsi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ina</w:t>
            </w:r>
            <w:r>
              <w:rPr>
                <w:rFonts w:cs="Arial Narrow" w:ascii="Arial Narrow" w:hAnsi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aktív súvahy: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Záväzky, vrátane rezerv, dlhopisov, pôžičiek a úverov: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pasív súvahy: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Splatná daň z príjmov a odložená daň z príjmov: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b) Trvalé zníženie hodnoty majetku nebolo účtované. Prechodné zníženie hodnoty majetku je zaúčtované formou opravnej položky stanovené odborným odhadom bonity klienta .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d)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 alebo majetku</w:t>
      </w:r>
      <w:r>
        <w:rPr>
          <w:rFonts w:cs="Arial Narrow" w:ascii="Arial Narrow" w:hAnsi="Arial Narrow"/>
          <w:sz w:val="22"/>
          <w:szCs w:val="22"/>
        </w:rPr>
        <w:t xml:space="preserve">, ktorý nie je finančným nástrojom pri oceňovaní </w:t>
      </w:r>
      <w:r>
        <w:rPr>
          <w:rFonts w:cs="Arial Narrow" w:ascii="Arial Narrow" w:hAnsi="Arial Narrow"/>
          <w:b/>
          <w:sz w:val="22"/>
          <w:szCs w:val="22"/>
        </w:rPr>
        <w:t>reálnou hodnotou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e)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</w:t>
      </w:r>
      <w:r>
        <w:rPr>
          <w:rFonts w:cs="Arial Narrow" w:ascii="Arial Narrow" w:hAnsi="Arial Narrow"/>
          <w:sz w:val="22"/>
          <w:szCs w:val="22"/>
        </w:rPr>
        <w:t xml:space="preserve"> pri oceňovaní obstarávacou cenou alebo vlastnými nákladmi: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f) Účtovná jednotka nepoužila dobrovoľné oceňovanie obchodných podielov </w:t>
      </w:r>
      <w:r>
        <w:rPr>
          <w:rFonts w:cs="Arial Narrow" w:ascii="Arial Narrow" w:hAnsi="Arial Narrow"/>
          <w:sz w:val="22"/>
          <w:szCs w:val="22"/>
          <w:u w:val="single"/>
        </w:rPr>
        <w:t>metódou vlastného imania</w:t>
      </w:r>
      <w:r>
        <w:rPr>
          <w:rFonts w:cs="Arial Narrow" w:ascii="Arial Narrow" w:hAnsi="Arial Narrow"/>
          <w:sz w:val="22"/>
          <w:szCs w:val="22"/>
        </w:rPr>
        <w:t xml:space="preserve"> (§ 27/9 ZoU).</w:t>
      </w:r>
    </w:p>
    <w:p>
      <w:pPr>
        <w:pStyle w:val="Heading2"/>
        <w:tabs>
          <w:tab w:val="clear" w:pos="113"/>
          <w:tab w:val="left" w:pos="1005" w:leader="none"/>
        </w:tabs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g) </w:t>
      </w:r>
      <w:r>
        <w:rPr>
          <w:rFonts w:cs="Arial Narrow" w:ascii="Arial Narrow" w:hAnsi="Arial Narrow"/>
          <w:bCs w:val="false"/>
          <w:sz w:val="22"/>
          <w:szCs w:val="22"/>
        </w:rPr>
        <w:t>Tvorba odpisového plánu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76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7"/>
        <w:gridCol w:w="1013"/>
        <w:gridCol w:w="2108"/>
        <w:gridCol w:w="2337"/>
      </w:tblGrid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Dlhodobý hmotný a nehmotný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číslo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doba odpisovania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odpisová sadzba 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(%)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Zariadenie reštaurácie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022A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16,67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022.A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022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 k odpisovému plánu</w:t>
      </w:r>
      <w:r>
        <w:rPr>
          <w:rFonts w:cs="Arial Narrow" w:ascii="Arial Narrow" w:hAnsi="Arial Narrow"/>
          <w:sz w:val="22"/>
          <w:szCs w:val="22"/>
        </w:rPr>
        <w:t xml:space="preserve">: </w:t>
      </w:r>
    </w:p>
    <w:p>
      <w:pPr>
        <w:pStyle w:val="Normal"/>
        <w:numPr>
          <w:ilvl w:val="0"/>
          <w:numId w:val="2"/>
        </w:numPr>
        <w:spacing w:before="0" w:after="120"/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účtovné odpisy v závislosti na daňových odpisoch</w:t>
      </w:r>
      <w:r>
        <w:rPr>
          <w:rFonts w:cs="Arial Narrow" w:ascii="Arial Narrow" w:hAnsi="Arial Narrow"/>
          <w:sz w:val="22"/>
          <w:szCs w:val="22"/>
        </w:rPr>
        <w:t xml:space="preserve">. Majetok sa začína odpisovať v mesiaci, kedy bol </w:t>
      </w:r>
      <w:r>
        <w:rPr>
          <w:rFonts w:cs="Arial Narrow" w:ascii="Arial Narrow" w:hAnsi="Arial Narrow"/>
          <w:sz w:val="22"/>
          <w:szCs w:val="22"/>
          <w:u w:val="single"/>
        </w:rPr>
        <w:t>zaradený do užívania</w:t>
      </w:r>
      <w:r>
        <w:rPr>
          <w:rFonts w:cs="Arial Narrow" w:ascii="Arial Narrow" w:hAnsi="Arial Narrow"/>
          <w:sz w:val="22"/>
          <w:szCs w:val="22"/>
        </w:rPr>
        <w:t>. Dlhodobý nehmotný majetok sa odpisuje počas 4 rokov od jeho obstarania.</w:t>
      </w:r>
    </w:p>
    <w:p>
      <w:pPr>
        <w:pStyle w:val="Normal"/>
        <w:numPr>
          <w:ilvl w:val="0"/>
          <w:numId w:val="2"/>
        </w:numPr>
        <w:spacing w:before="0" w:after="120"/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rovnomerné odpisovanie</w:t>
      </w:r>
      <w:r>
        <w:rPr>
          <w:rFonts w:cs="Arial Narrow" w:ascii="Arial Narrow" w:hAnsi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Heading2"/>
        <w:jc w:val="both"/>
        <w:rPr>
          <w:rFonts w:ascii="Arial Narrow" w:hAnsi="Arial Narrow" w:cs="Arial Narrow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h) Informácia </w:t>
      </w:r>
      <w:r>
        <w:rPr>
          <w:rFonts w:cs="Arial Narrow" w:ascii="Arial Narrow" w:hAnsi="Arial Narrow"/>
          <w:bCs w:val="false"/>
          <w:sz w:val="22"/>
          <w:szCs w:val="22"/>
        </w:rPr>
        <w:t>o poskytnutých dotáciách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a pri dotáciách na obstaranie majetku sa uvedú zložky majetku a ich ocenenie: </w:t>
      </w:r>
    </w:p>
    <w:p>
      <w:pPr>
        <w:pStyle w:val="Normal"/>
        <w:rPr/>
      </w:pPr>
      <w:r>
        <w:rPr/>
        <w:t>8160,87</w:t>
      </w:r>
      <w:r>
        <w:rPr/>
        <w:t xml:space="preserve"> – dotácia </w:t>
      </w:r>
      <w:r>
        <w:rPr/>
        <w:t>energie</w:t>
      </w:r>
    </w:p>
    <w:p>
      <w:pPr>
        <w:pStyle w:val="Heading2"/>
        <w:jc w:val="both"/>
        <w:rPr>
          <w:rFonts w:ascii="Arial Narrow" w:hAnsi="Arial Narrow" w:cs="Arial Narrow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</w:r>
    </w:p>
    <w:p>
      <w:pPr>
        <w:pStyle w:val="Heading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5) </w:t>
      </w:r>
      <w:r>
        <w:rPr>
          <w:rFonts w:cs="Arial Narrow" w:ascii="Arial Narrow" w:hAnsi="Arial Narrow"/>
          <w:bCs w:val="false"/>
          <w:sz w:val="22"/>
          <w:szCs w:val="22"/>
        </w:rPr>
        <w:t xml:space="preserve">Informácie o oprave </w:t>
      </w:r>
      <w:r>
        <w:rPr>
          <w:rFonts w:cs="Arial Narrow" w:ascii="Arial Narrow" w:hAnsi="Arial Narrow"/>
          <w:bCs w:val="false"/>
          <w:sz w:val="22"/>
          <w:szCs w:val="22"/>
          <w:u w:val="single"/>
        </w:rPr>
        <w:t>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s uvedením sumy vplyvu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nevýznamných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položku.</w:t>
      </w:r>
    </w:p>
    <w:tbl>
      <w:tblPr>
        <w:tblW w:w="9671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75"/>
        <w:gridCol w:w="1040"/>
        <w:gridCol w:w="1038"/>
        <w:gridCol w:w="1929"/>
        <w:gridCol w:w="2589"/>
      </w:tblGrid>
      <w:tr>
        <w:trPr/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  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Suma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vlastné imanie</w:t>
            </w:r>
          </w:p>
        </w:tc>
      </w:tr>
      <w:tr>
        <w:trPr/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/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Dlhodobý nehmotný majetok, ktorým je </w:t>
      </w:r>
      <w:r>
        <w:rPr>
          <w:rFonts w:cs="Arial Narrow" w:ascii="Arial Narrow" w:hAnsi="Arial Narrow"/>
          <w:sz w:val="22"/>
          <w:szCs w:val="22"/>
          <w:u w:val="single"/>
        </w:rPr>
        <w:t>goodwill alebo záporný goodwill</w:t>
      </w:r>
      <w:r>
        <w:rPr>
          <w:rFonts w:cs="Arial Narrow" w:ascii="Arial Narrow" w:hAnsi="Arial Narrow"/>
          <w:b/>
          <w:sz w:val="22"/>
          <w:szCs w:val="22"/>
        </w:rPr>
        <w:t xml:space="preserve"> - </w:t>
      </w:r>
      <w:r>
        <w:rPr>
          <w:rFonts w:cs="Arial Narrow" w:ascii="Arial Narrow" w:hAnsi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Informácie o významných </w:t>
      </w:r>
      <w:r>
        <w:rPr>
          <w:rFonts w:cs="Arial Narrow" w:ascii="Arial Narrow" w:hAnsi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cs="Arial Narrow" w:ascii="Arial Narrow" w:hAnsi="Arial Narrow"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3a) Celková suma </w:t>
      </w:r>
      <w:r>
        <w:rPr>
          <w:rFonts w:cs="Arial Narrow" w:ascii="Arial Narrow" w:hAnsi="Arial Narrow"/>
          <w:sz w:val="22"/>
          <w:szCs w:val="22"/>
          <w:u w:val="single"/>
        </w:rPr>
        <w:t>záväzkov so zostatkovou dobou splatnosti dlhšou ako 5 rokov</w:t>
      </w:r>
      <w:r>
        <w:rPr>
          <w:rFonts w:cs="Arial Narrow" w:ascii="Arial Narrow" w:hAnsi="Arial Narrow"/>
          <w:sz w:val="22"/>
          <w:szCs w:val="22"/>
        </w:rPr>
        <w:t xml:space="preserve">:  </w:t>
      </w:r>
    </w:p>
    <w:tbl>
      <w:tblPr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85"/>
        <w:gridCol w:w="2553"/>
        <w:gridCol w:w="2446"/>
      </w:tblGrid>
      <w:tr>
        <w:trPr>
          <w:trHeight w:val="693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0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</w:tr>
    </w:tbl>
    <w:p>
      <w:pPr>
        <w:pStyle w:val="Normal"/>
        <w:spacing w:before="120" w:after="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>
      <w:pPr>
        <w:pStyle w:val="Normal"/>
        <w:spacing w:before="120" w:after="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3b) Celková suma </w:t>
      </w:r>
      <w:r>
        <w:rPr>
          <w:rFonts w:cs="Arial Narrow" w:ascii="Arial Narrow" w:hAnsi="Arial Narrow"/>
          <w:sz w:val="22"/>
          <w:szCs w:val="22"/>
          <w:u w:val="single"/>
        </w:rPr>
        <w:t>zabezpečených záväzkov</w:t>
      </w:r>
      <w:r>
        <w:rPr>
          <w:rFonts w:cs="Arial Narrow" w:ascii="Arial Narrow" w:hAnsi="Arial Narrow"/>
          <w:sz w:val="22"/>
          <w:szCs w:val="22"/>
        </w:rPr>
        <w:t xml:space="preserve"> – opis a spôsob zabezpečenia záväzkov: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tbl>
      <w:tblPr>
        <w:tblW w:w="9708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395"/>
        <w:gridCol w:w="2831"/>
        <w:gridCol w:w="2482"/>
      </w:tblGrid>
      <w:tr>
        <w:trPr/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Zabezpečené záväzky</w:t>
            </w:r>
          </w:p>
        </w:tc>
        <w:tc>
          <w:tcPr>
            <w:tcW w:w="5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3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snapToGrid w:val="false"/>
              <w:jc w:val="both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Spôsob </w:t>
            </w:r>
          </w:p>
          <w:p>
            <w:pPr>
              <w:pStyle w:val="TopHeader"/>
              <w:rPr/>
            </w:pPr>
            <w:r>
              <w:rPr/>
              <w:t>zabezpečenia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záväzkov</w:t>
            </w:r>
          </w:p>
        </w:tc>
      </w:tr>
      <w:tr>
        <w:trPr>
          <w:trHeight w:val="69" w:hRule="atLeast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sz w:val="22"/>
          <w:szCs w:val="22"/>
          <w:u w:val="single"/>
        </w:rPr>
        <w:t>Informácie o vlastných akciách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Informácie o sume a dôvodoch vzniku jednotlivých položiek </w:t>
      </w:r>
      <w:r>
        <w:rPr>
          <w:rFonts w:cs="Arial Narrow" w:ascii="Arial Narrow" w:hAnsi="Arial Narrow"/>
          <w:b/>
          <w:sz w:val="22"/>
          <w:szCs w:val="22"/>
        </w:rPr>
        <w:t>nákladov alebo výnosov</w:t>
      </w:r>
      <w:r>
        <w:rPr>
          <w:rFonts w:cs="Arial Narrow" w:ascii="Arial Narrow" w:hAnsi="Arial Narrow"/>
          <w:sz w:val="22"/>
          <w:szCs w:val="22"/>
        </w:rPr>
        <w:t xml:space="preserve">, ktoré majú </w:t>
      </w:r>
      <w:r>
        <w:rPr>
          <w:rFonts w:cs="Arial Narrow" w:ascii="Arial Narrow" w:hAnsi="Arial Narrow"/>
          <w:sz w:val="22"/>
          <w:szCs w:val="22"/>
          <w:u w:val="single"/>
        </w:rPr>
        <w:t>výnimočný rozsah alebo výskyt</w:t>
      </w:r>
      <w:r>
        <w:rPr>
          <w:rFonts w:cs="Arial Narrow" w:ascii="Arial Narrow" w:hAnsi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spacing w:before="0" w:after="120"/>
        <w:ind w:right="-471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 – INFORMÁCIE O INÝCH AKTÍVACH A INÝCH PASÍVACH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1a)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Podmienený majetok</w:t>
      </w:r>
      <w:r>
        <w:rPr>
          <w:rFonts w:cs="Arial Narrow" w:ascii="Arial Narrow" w:hAnsi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1b)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Podmienené záväzky</w:t>
      </w:r>
      <w:r>
        <w:rPr>
          <w:rFonts w:cs="Arial Narrow" w:ascii="Arial Narrow" w:hAnsi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  <w:r>
        <w:rPr>
          <w:rFonts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>
      <w:pPr>
        <w:pStyle w:val="Normal"/>
        <w:numPr>
          <w:ilvl w:val="0"/>
          <w:numId w:val="4"/>
        </w:numPr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  <w:u w:val="single"/>
        </w:rPr>
        <w:t>Ostatné finančné povinnosti</w:t>
      </w:r>
      <w:r>
        <w:rPr>
          <w:rFonts w:cs="Arial Narrow" w:ascii="Arial Narrow" w:hAnsi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Podsúvahové účty</w:t>
      </w:r>
      <w:r>
        <w:rPr>
          <w:rFonts w:cs="Arial Narrow" w:ascii="Arial Narrow" w:hAnsi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 – UDALOSTI, KTORÉ NASTALI PO ZÁVIERKOVOM DNI</w:t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(Následné udalosti)</w:t>
      </w:r>
    </w:p>
    <w:p>
      <w:pPr>
        <w:pStyle w:val="Normal"/>
        <w:ind w:right="-46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strát.</w:t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Po dni účtovnej závierky nenastali udalosti, ktoré by menili údaje v účtovnej závierke 202</w:t>
      </w:r>
      <w:r>
        <w:rPr>
          <w:rFonts w:cs="Arial Narrow" w:ascii="Arial Narrow" w:hAnsi="Arial Narrow"/>
          <w:b/>
          <w:bCs/>
          <w:sz w:val="22"/>
          <w:szCs w:val="22"/>
        </w:rPr>
        <w:t>3</w:t>
      </w:r>
      <w:r>
        <w:rPr>
          <w:rFonts w:cs="Arial Narrow" w:ascii="Arial Narrow" w:hAnsi="Arial Narrow"/>
          <w:b/>
          <w:bCs/>
          <w:sz w:val="22"/>
          <w:szCs w:val="22"/>
        </w:rPr>
        <w:t>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VII – OSTATNÉ INFORMÁCIE</w:t>
      </w:r>
    </w:p>
    <w:p>
      <w:pPr>
        <w:pStyle w:val="Normal"/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2) Informácie o osobitnej kategórii priemyselnej výroby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3) Informácie o finančných vzťahoch s orgánmi verejnej moci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992" w:gutter="0" w:header="567" w:top="1417" w:footer="567" w:bottom="141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ee"/>
    <w:family w:val="roman"/>
    <w:pitch w:val="variable"/>
  </w:font>
  <w:font w:name="Arial Narrow">
    <w:charset w:val="ee"/>
    <w:family w:val="roman"/>
    <w:pitch w:val="variable"/>
  </w:font>
  <w:font w:name="Courier New">
    <w:charset w:val="ee"/>
    <w:family w:val="roman"/>
    <w:pitch w:val="variable"/>
  </w:font>
  <w:font w:name="Symbol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Arial Narrow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46445242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2023381393</w:t>
    </w:r>
  </w:p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46445242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2023381393</w:t>
    </w:r>
  </w:p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2"/>
        <w:szCs w:val="24"/>
        <w:iCs w:val="false"/>
        <w:bCs w:val="false"/>
        <w:w w:val="100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sk-SK" w:bidi="ar-SA"/>
    </w:rPr>
  </w:style>
  <w:style w:type="paragraph" w:styleId="Heading1">
    <w:name w:val="Heading 1"/>
    <w:basedOn w:val="Normal"/>
    <w:next w:val="Heading2"/>
    <w:qFormat/>
    <w:pPr>
      <w:keepNext w:val="true"/>
      <w:numPr>
        <w:ilvl w:val="0"/>
        <w:numId w:val="1"/>
      </w:numPr>
      <w:tabs>
        <w:tab w:val="clear" w:pos="113"/>
        <w:tab w:val="left" w:pos="5220" w:leader="none"/>
      </w:tabs>
      <w:spacing w:before="240" w:after="60"/>
      <w:jc w:val="center"/>
      <w:outlineLvl w:val="0"/>
    </w:pPr>
    <w:rPr>
      <w:b/>
      <w:bCs/>
      <w:kern w:val="2"/>
    </w:rPr>
  </w:style>
  <w:style w:type="paragraph" w:styleId="Heading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2z0" w:customStyle="1">
    <w:name w:val="WW8Num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3z0" w:customStyle="1">
    <w:name w:val="WW8Num3z0"/>
    <w:qFormat/>
    <w:rPr>
      <w:rFonts w:ascii="Wingdings" w:hAnsi="Wingdings" w:cs="Wingdings"/>
      <w:sz w:val="22"/>
      <w:szCs w:val="22"/>
    </w:rPr>
  </w:style>
  <w:style w:type="character" w:styleId="WW8Num4z0" w:customStyle="1">
    <w:name w:val="WW8Num4z0"/>
    <w:qFormat/>
    <w:rPr>
      <w:rFonts w:ascii="Arial Narrow" w:hAnsi="Arial Narrow" w:cs="Arial Narrow"/>
    </w:rPr>
  </w:style>
  <w:style w:type="character" w:styleId="WW8Num5z0" w:customStyle="1">
    <w:name w:val="WW8Num5z0"/>
    <w:qFormat/>
    <w:rPr/>
  </w:style>
  <w:style w:type="character" w:styleId="Predvolenpsmoodseku3" w:customStyle="1">
    <w:name w:val="Predvolené písmo odseku3"/>
    <w:qFormat/>
    <w:rPr/>
  </w:style>
  <w:style w:type="character" w:styleId="WW8Num6z0" w:customStyle="1">
    <w:name w:val="WW8Num6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7z0" w:customStyle="1">
    <w:name w:val="WW8Num7z0"/>
    <w:qFormat/>
    <w:rPr/>
  </w:style>
  <w:style w:type="character" w:styleId="Predvolenpsmoodseku2" w:customStyle="1">
    <w:name w:val="Predvolené písmo odseku2"/>
    <w:qFormat/>
    <w:rPr/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rFonts w:ascii="Arial Narrow" w:hAnsi="Arial Narrow" w:eastAsia="Times New Roman" w:cs="Arial Narrow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Wingdings" w:hAnsi="Wingdings" w:cs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Wingdings" w:hAnsi="Wingdings" w:cs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3" w:customStyle="1">
    <w:name w:val="WW8Num16z3"/>
    <w:qFormat/>
    <w:rPr>
      <w:rFonts w:ascii="Symbol" w:hAnsi="Symbol" w:cs="Symbol"/>
    </w:rPr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Predvolenpsmoodseku1" w:customStyle="1">
    <w:name w:val="Predvolené písmo odseku1"/>
    <w:qFormat/>
    <w:rPr/>
  </w:style>
  <w:style w:type="character" w:styleId="Nadpis1Char" w:customStyle="1">
    <w:name w:val="Nadpis 1 Char"/>
    <w:qFormat/>
    <w:rPr>
      <w:b/>
      <w:bCs/>
      <w:kern w:val="2"/>
      <w:sz w:val="24"/>
      <w:szCs w:val="24"/>
      <w:lang w:val="sk-SK"/>
    </w:rPr>
  </w:style>
  <w:style w:type="character" w:styleId="Nadpis2Char" w:customStyle="1">
    <w:name w:val="Nadpis 2 Char"/>
    <w:qFormat/>
    <w:rPr>
      <w:rFonts w:ascii="Cambria" w:hAnsi="Cambria" w:eastAsia="Times New Roman" w:cs="Cambria"/>
      <w:b/>
      <w:bCs/>
      <w:i/>
      <w:iCs/>
      <w:sz w:val="28"/>
      <w:szCs w:val="28"/>
    </w:rPr>
  </w:style>
  <w:style w:type="character" w:styleId="TextpoznmkypodiarouChar" w:customStyle="1">
    <w:name w:val="Text poznámky pod čiarou Char"/>
    <w:qFormat/>
    <w:rPr>
      <w:sz w:val="20"/>
      <w:szCs w:val="20"/>
    </w:rPr>
  </w:style>
  <w:style w:type="character" w:styleId="Znakyprepoznmkupodiarou" w:customStyle="1">
    <w:name w:val="Znaky pre poznámku pod čiarou"/>
    <w:qFormat/>
    <w:rPr>
      <w:vertAlign w:val="superscript"/>
    </w:rPr>
  </w:style>
  <w:style w:type="character" w:styleId="PtaChar" w:customStyle="1">
    <w:name w:val="Päta Char"/>
    <w:qFormat/>
    <w:rPr>
      <w:sz w:val="24"/>
      <w:szCs w:val="24"/>
    </w:rPr>
  </w:style>
  <w:style w:type="character" w:styleId="Pagenumber">
    <w:name w:val="page number"/>
    <w:basedOn w:val="Predvolenpsmoodseku1"/>
    <w:qFormat/>
    <w:rPr/>
  </w:style>
  <w:style w:type="character" w:styleId="NzovChar" w:customStyle="1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styleId="HlavikaChar" w:customStyle="1">
    <w:name w:val="Hlavička Char"/>
    <w:qFormat/>
    <w:rPr>
      <w:sz w:val="24"/>
      <w:szCs w:val="24"/>
      <w:lang w:val="sk-SK"/>
    </w:rPr>
  </w:style>
  <w:style w:type="character" w:styleId="ZkladntextChar" w:customStyle="1">
    <w:name w:val="Základný text Char"/>
    <w:qFormat/>
    <w:rPr>
      <w:sz w:val="24"/>
      <w:szCs w:val="24"/>
      <w:lang w:val="en-US"/>
    </w:rPr>
  </w:style>
  <w:style w:type="character" w:styleId="Ra" w:customStyle="1">
    <w:name w:val="ra"/>
    <w:basedOn w:val="Predvolenpsmoodseku3"/>
    <w:qFormat/>
    <w:rPr/>
  </w:style>
  <w:style w:type="paragraph" w:styleId="Nadpis" w:customStyle="1">
    <w:name w:val="Nadpis"/>
    <w:basedOn w:val="Normal"/>
    <w:next w:val="Normal"/>
    <w:qFormat/>
    <w:pPr>
      <w:keepNext w:val="true"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BodyText">
    <w:name w:val="Body Text"/>
    <w:basedOn w:val="Normal"/>
    <w:pPr>
      <w:widowControl w:val="false"/>
      <w:ind w:hanging="567" w:left="668"/>
    </w:pPr>
    <w:rPr>
      <w:lang w:val="en-US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 w:customStyle="1">
    <w:name w:val="Register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Zkladntext" w:customStyle="1">
    <w:name w:val="Základní text"/>
    <w:qFormat/>
    <w:pPr>
      <w:widowControl/>
      <w:suppressAutoHyphens w:val="true"/>
      <w:bidi w:val="0"/>
      <w:spacing w:before="0" w:after="2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zh-CN" w:val="sk-SK" w:bidi="ar-SA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Hlavikaapta" w:customStyle="1">
    <w:name w:val="Hlavička a päta"/>
    <w:basedOn w:val="Normal"/>
    <w:qFormat/>
    <w:pPr>
      <w:suppressLineNumbers/>
      <w:tabs>
        <w:tab w:val="clear" w:pos="113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113"/>
        <w:tab w:val="center" w:pos="4536" w:leader="none"/>
        <w:tab w:val="right" w:pos="9072" w:leader="none"/>
      </w:tabs>
    </w:pPr>
    <w:rPr/>
  </w:style>
  <w:style w:type="paragraph" w:styleId="TopHeader" w:customStyle="1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eader">
    <w:name w:val="Header"/>
    <w:basedOn w:val="Normal"/>
    <w:pPr>
      <w:tabs>
        <w:tab w:val="clear" w:pos="113"/>
        <w:tab w:val="center" w:pos="4703" w:leader="none"/>
        <w:tab w:val="right" w:pos="9406" w:leader="none"/>
      </w:tabs>
    </w:pPr>
    <w:rPr/>
  </w:style>
  <w:style w:type="paragraph" w:styleId="Obsahtabuky" w:customStyle="1">
    <w:name w:val="Obsah tabuľky"/>
    <w:basedOn w:val="Normal"/>
    <w:qFormat/>
    <w:pPr>
      <w:suppressLineNumbers/>
    </w:pPr>
    <w:rPr/>
  </w:style>
  <w:style w:type="paragraph" w:styleId="Nadpistabuky" w:customStyle="1">
    <w:name w:val="Nadpis tabuľky"/>
    <w:basedOn w:val="Obsahtabuky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LibreOffice/24.2.3.2$Windows_X86_64 LibreOffice_project/433d9c2ded56988e8a90e6b2e771ee4e6a5ab2ba</Application>
  <AppVersion>15.0000</AppVersion>
  <Pages>5</Pages>
  <Words>1734</Words>
  <Characters>9889</Characters>
  <CharactersWithSpaces>11600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2023-06-13T17:07:00Z</dcterms:created>
  <dc:creator>user</dc:creator>
  <dc:description/>
  <dc:language>sk-SK</dc:language>
  <cp:lastModifiedBy/>
  <cp:lastPrinted>1995-11-21T16:41:00Z</cp:lastPrinted>
  <dcterms:modified xsi:type="dcterms:W3CDTF">2024-06-05T15:08:36Z</dcterms:modified>
  <cp:revision>3</cp:revision>
  <dc:subject/>
  <dc:title>Návrh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